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88"/>
        <w:gridCol w:w="5838"/>
      </w:tblGrid>
      <w:tr w:rsidR="004B3278" w:rsidRPr="004B3278" w:rsidTr="004B3278">
        <w:trPr>
          <w:trHeight w:val="288"/>
          <w:jc w:val="center"/>
        </w:trPr>
        <w:tc>
          <w:tcPr>
            <w:tcW w:w="3275" w:type="dxa"/>
            <w:tcBorders>
              <w:top w:val="nil"/>
              <w:left w:val="nil"/>
              <w:bottom w:val="nil"/>
              <w:right w:val="nil"/>
            </w:tcBorders>
            <w:tcMar>
              <w:top w:w="0" w:type="dxa"/>
              <w:left w:w="108" w:type="dxa"/>
              <w:bottom w:w="0" w:type="dxa"/>
              <w:right w:w="108" w:type="dxa"/>
            </w:tcMar>
            <w:hideMark/>
          </w:tcPr>
          <w:p w:rsidR="004B3278" w:rsidRPr="004B3278" w:rsidRDefault="004B3278" w:rsidP="004B3278">
            <w:pPr>
              <w:spacing w:after="0" w:line="240" w:lineRule="auto"/>
              <w:jc w:val="center"/>
              <w:rPr>
                <w:rFonts w:eastAsia="Times New Roman" w:cs="Times New Roman"/>
                <w:b/>
                <w:bCs/>
                <w:szCs w:val="24"/>
                <w:lang w:eastAsia="vi-VN"/>
              </w:rPr>
            </w:pPr>
            <w:r w:rsidRPr="004B3278">
              <w:rPr>
                <w:rFonts w:eastAsia="Times New Roman" w:cs="Times New Roman"/>
                <w:b/>
                <w:bCs/>
                <w:szCs w:val="24"/>
                <w:lang w:eastAsia="vi-VN"/>
              </w:rPr>
              <w:t>CHÍNH PHỦ</w:t>
            </w:r>
            <w:r w:rsidRPr="004B3278">
              <w:rPr>
                <w:rFonts w:eastAsia="Times New Roman" w:cs="Times New Roman"/>
                <w:b/>
                <w:bCs/>
                <w:szCs w:val="24"/>
                <w:lang w:eastAsia="vi-VN"/>
              </w:rPr>
              <w:br/>
              <w:t>-------</w:t>
            </w:r>
          </w:p>
          <w:p w:rsidR="004B3278" w:rsidRPr="004B3278" w:rsidRDefault="004B3278" w:rsidP="004B3278">
            <w:pPr>
              <w:spacing w:after="0" w:line="240" w:lineRule="auto"/>
              <w:jc w:val="center"/>
              <w:rPr>
                <w:rFonts w:eastAsia="Times New Roman" w:cs="Times New Roman"/>
                <w:szCs w:val="24"/>
                <w:lang w:eastAsia="vi-VN"/>
              </w:rPr>
            </w:pPr>
            <w:r w:rsidRPr="004B3278">
              <w:rPr>
                <w:rFonts w:eastAsia="Times New Roman" w:cs="Times New Roman"/>
                <w:szCs w:val="24"/>
                <w:lang w:eastAsia="vi-VN"/>
              </w:rPr>
              <w:t>Số: 29/2015/NĐ-CP</w:t>
            </w:r>
          </w:p>
        </w:tc>
        <w:tc>
          <w:tcPr>
            <w:tcW w:w="6085" w:type="dxa"/>
            <w:tcBorders>
              <w:top w:val="nil"/>
              <w:left w:val="nil"/>
              <w:bottom w:val="nil"/>
              <w:right w:val="nil"/>
            </w:tcBorders>
            <w:tcMar>
              <w:top w:w="0" w:type="dxa"/>
              <w:left w:w="108" w:type="dxa"/>
              <w:bottom w:w="0" w:type="dxa"/>
              <w:right w:w="108" w:type="dxa"/>
            </w:tcMar>
            <w:hideMark/>
          </w:tcPr>
          <w:p w:rsidR="004B3278" w:rsidRPr="004B3278" w:rsidRDefault="004B3278" w:rsidP="004B3278">
            <w:pPr>
              <w:spacing w:after="0" w:line="240" w:lineRule="auto"/>
              <w:jc w:val="center"/>
              <w:rPr>
                <w:rFonts w:eastAsia="Times New Roman" w:cs="Times New Roman"/>
                <w:b/>
                <w:bCs/>
                <w:szCs w:val="24"/>
                <w:lang w:eastAsia="vi-VN"/>
              </w:rPr>
            </w:pPr>
            <w:r w:rsidRPr="004B3278">
              <w:rPr>
                <w:rFonts w:eastAsia="Times New Roman" w:cs="Times New Roman"/>
                <w:b/>
                <w:bCs/>
                <w:szCs w:val="24"/>
                <w:lang w:eastAsia="vi-VN"/>
              </w:rPr>
              <w:t>CỘNG HÒA XÃ HỘI CHỦ NGHĨA VIỆT NAM</w:t>
            </w:r>
            <w:r w:rsidRPr="004B3278">
              <w:rPr>
                <w:rFonts w:eastAsia="Times New Roman" w:cs="Times New Roman"/>
                <w:b/>
                <w:bCs/>
                <w:szCs w:val="24"/>
                <w:lang w:eastAsia="vi-VN"/>
              </w:rPr>
              <w:br/>
              <w:t xml:space="preserve">Độc lập - Tự do - Hạnh phúc </w:t>
            </w:r>
            <w:r w:rsidRPr="004B3278">
              <w:rPr>
                <w:rFonts w:eastAsia="Times New Roman" w:cs="Times New Roman"/>
                <w:b/>
                <w:bCs/>
                <w:szCs w:val="24"/>
                <w:lang w:eastAsia="vi-VN"/>
              </w:rPr>
              <w:br/>
              <w:t>---------------</w:t>
            </w:r>
          </w:p>
          <w:p w:rsidR="004B3278" w:rsidRPr="004B3278" w:rsidRDefault="004B3278" w:rsidP="004B3278">
            <w:pPr>
              <w:spacing w:after="0" w:line="240" w:lineRule="auto"/>
              <w:jc w:val="right"/>
              <w:rPr>
                <w:rFonts w:eastAsia="Times New Roman" w:cs="Times New Roman"/>
                <w:i/>
                <w:szCs w:val="24"/>
                <w:lang w:eastAsia="vi-VN"/>
              </w:rPr>
            </w:pPr>
            <w:r w:rsidRPr="004B3278">
              <w:rPr>
                <w:rFonts w:eastAsia="Times New Roman" w:cs="Times New Roman"/>
                <w:i/>
                <w:szCs w:val="24"/>
                <w:lang w:eastAsia="vi-VN"/>
              </w:rPr>
              <w:t>Hà Nội, ngày 15 tháng 03 năm 2015</w:t>
            </w:r>
          </w:p>
        </w:tc>
      </w:tr>
    </w:tbl>
    <w:p w:rsidR="004B3278" w:rsidRPr="004B3278" w:rsidRDefault="004B3278" w:rsidP="004B3278">
      <w:pPr>
        <w:spacing w:after="0" w:line="240" w:lineRule="auto"/>
        <w:rPr>
          <w:rFonts w:eastAsia="Times New Roman" w:cs="Times New Roman"/>
          <w:szCs w:val="24"/>
          <w:lang w:eastAsia="vi-VN"/>
        </w:rPr>
      </w:pPr>
      <w:r w:rsidRPr="004B3278">
        <w:rPr>
          <w:rFonts w:eastAsia="Times New Roman" w:cs="Times New Roman"/>
          <w:szCs w:val="24"/>
          <w:lang w:eastAsia="vi-VN"/>
        </w:rPr>
        <w:t> </w:t>
      </w:r>
    </w:p>
    <w:p w:rsidR="004B3278" w:rsidRPr="004B3278" w:rsidRDefault="004B3278" w:rsidP="004B3278">
      <w:pPr>
        <w:spacing w:after="0" w:line="240" w:lineRule="auto"/>
        <w:jc w:val="center"/>
        <w:rPr>
          <w:rFonts w:eastAsia="Times New Roman" w:cs="Times New Roman"/>
          <w:b/>
          <w:bCs/>
          <w:szCs w:val="24"/>
          <w:lang w:eastAsia="vi-VN"/>
        </w:rPr>
      </w:pPr>
      <w:bookmarkStart w:id="0" w:name="loai_1"/>
    </w:p>
    <w:p w:rsidR="004B3278" w:rsidRPr="004B3278" w:rsidRDefault="004B3278" w:rsidP="004B3278">
      <w:pPr>
        <w:spacing w:after="0" w:line="240" w:lineRule="auto"/>
        <w:jc w:val="center"/>
        <w:rPr>
          <w:rFonts w:eastAsia="Times New Roman" w:cs="Times New Roman"/>
          <w:szCs w:val="24"/>
          <w:lang w:eastAsia="vi-VN"/>
        </w:rPr>
      </w:pPr>
      <w:r w:rsidRPr="004B3278">
        <w:rPr>
          <w:rFonts w:eastAsia="Times New Roman" w:cs="Times New Roman"/>
          <w:b/>
          <w:bCs/>
          <w:szCs w:val="24"/>
          <w:lang w:eastAsia="vi-VN"/>
        </w:rPr>
        <w:t>NGHỊ ĐỊNH</w:t>
      </w:r>
      <w:bookmarkEnd w:id="0"/>
    </w:p>
    <w:p w:rsidR="004B3278" w:rsidRPr="004B3278" w:rsidRDefault="004B3278" w:rsidP="004B3278">
      <w:pPr>
        <w:spacing w:after="0" w:line="240" w:lineRule="auto"/>
        <w:jc w:val="center"/>
        <w:rPr>
          <w:rFonts w:eastAsia="Times New Roman" w:cs="Times New Roman"/>
          <w:b/>
          <w:szCs w:val="24"/>
          <w:lang w:eastAsia="vi-VN"/>
        </w:rPr>
      </w:pPr>
      <w:bookmarkStart w:id="1" w:name="loai_1_name"/>
      <w:r w:rsidRPr="004B3278">
        <w:rPr>
          <w:rFonts w:eastAsia="Times New Roman" w:cs="Times New Roman"/>
          <w:b/>
          <w:szCs w:val="24"/>
          <w:lang w:eastAsia="vi-VN"/>
        </w:rPr>
        <w:t>QUY ĐỊNH CHI TIẾT VÀ HƯỚNG DẪN THI HÀNH MỘT SỐ ĐIỀU CỦA LUẬT CÔNG CHỨNG</w:t>
      </w:r>
      <w:bookmarkEnd w:id="1"/>
    </w:p>
    <w:p w:rsidR="004B3278" w:rsidRPr="004B3278" w:rsidRDefault="004B3278" w:rsidP="004B3278">
      <w:pPr>
        <w:spacing w:after="0" w:line="240" w:lineRule="auto"/>
        <w:jc w:val="center"/>
        <w:rPr>
          <w:rFonts w:eastAsia="Times New Roman" w:cs="Times New Roman"/>
          <w:b/>
          <w:szCs w:val="24"/>
          <w:lang w:eastAsia="vi-VN"/>
        </w:rPr>
      </w:pPr>
    </w:p>
    <w:p w:rsidR="004B3278" w:rsidRPr="004B3278" w:rsidRDefault="004B3278" w:rsidP="004B3278">
      <w:pPr>
        <w:spacing w:after="120" w:line="240" w:lineRule="auto"/>
        <w:ind w:firstLine="720"/>
        <w:jc w:val="both"/>
        <w:rPr>
          <w:rFonts w:eastAsia="Times New Roman" w:cs="Times New Roman"/>
          <w:szCs w:val="24"/>
          <w:lang w:eastAsia="vi-VN"/>
        </w:rPr>
      </w:pPr>
      <w:r w:rsidRPr="004B3278">
        <w:rPr>
          <w:rFonts w:eastAsia="Times New Roman" w:cs="Times New Roman"/>
          <w:i/>
          <w:iCs/>
          <w:szCs w:val="24"/>
          <w:lang w:eastAsia="vi-VN"/>
        </w:rPr>
        <w:t xml:space="preserve">Căn cứ Luật </w:t>
      </w:r>
      <w:r w:rsidRPr="004B3278">
        <w:rPr>
          <w:rFonts w:eastAsia="Times New Roman" w:cs="Times New Roman"/>
          <w:i/>
          <w:iCs/>
          <w:szCs w:val="24"/>
          <w:shd w:val="solid" w:color="FFFFFF" w:fill="auto"/>
          <w:lang w:eastAsia="vi-VN"/>
        </w:rPr>
        <w:t>Tổ chức</w:t>
      </w:r>
      <w:r w:rsidRPr="004B3278">
        <w:rPr>
          <w:rFonts w:eastAsia="Times New Roman" w:cs="Times New Roman"/>
          <w:i/>
          <w:iCs/>
          <w:szCs w:val="24"/>
          <w:lang w:eastAsia="vi-VN"/>
        </w:rPr>
        <w:t xml:space="preserve"> Chính phủ ngày 25 tháng 12 năm 2001;</w:t>
      </w:r>
    </w:p>
    <w:p w:rsidR="004B3278" w:rsidRPr="004B3278" w:rsidRDefault="004B3278" w:rsidP="004B3278">
      <w:pPr>
        <w:spacing w:after="120" w:line="240" w:lineRule="auto"/>
        <w:ind w:firstLine="720"/>
        <w:jc w:val="both"/>
        <w:rPr>
          <w:rFonts w:eastAsia="Times New Roman" w:cs="Times New Roman"/>
          <w:szCs w:val="24"/>
          <w:lang w:eastAsia="vi-VN"/>
        </w:rPr>
      </w:pPr>
      <w:r w:rsidRPr="004B3278">
        <w:rPr>
          <w:rFonts w:eastAsia="Times New Roman" w:cs="Times New Roman"/>
          <w:i/>
          <w:iCs/>
          <w:szCs w:val="24"/>
          <w:lang w:eastAsia="vi-VN"/>
        </w:rPr>
        <w:t>Căn cứ Luật Công chứng ngày 20 tháng 6 năm 2014;</w:t>
      </w:r>
    </w:p>
    <w:p w:rsidR="004B3278" w:rsidRPr="004B3278" w:rsidRDefault="004B3278" w:rsidP="004B3278">
      <w:pPr>
        <w:spacing w:after="120" w:line="240" w:lineRule="auto"/>
        <w:ind w:firstLine="720"/>
        <w:jc w:val="both"/>
        <w:rPr>
          <w:rFonts w:eastAsia="Times New Roman" w:cs="Times New Roman"/>
          <w:szCs w:val="24"/>
          <w:lang w:eastAsia="vi-VN"/>
        </w:rPr>
      </w:pPr>
      <w:r w:rsidRPr="004B3278">
        <w:rPr>
          <w:rFonts w:eastAsia="Times New Roman" w:cs="Times New Roman"/>
          <w:i/>
          <w:iCs/>
          <w:szCs w:val="24"/>
          <w:lang w:eastAsia="vi-VN"/>
        </w:rPr>
        <w:t>Theo đề nghị của Bộ trưởng Bộ Tư pháp,</w:t>
      </w:r>
    </w:p>
    <w:p w:rsidR="004B3278" w:rsidRPr="004B3278" w:rsidRDefault="004B3278" w:rsidP="004B3278">
      <w:pPr>
        <w:spacing w:after="120" w:line="240" w:lineRule="auto"/>
        <w:ind w:firstLine="720"/>
        <w:jc w:val="both"/>
        <w:rPr>
          <w:rFonts w:eastAsia="Times New Roman" w:cs="Times New Roman"/>
          <w:szCs w:val="24"/>
          <w:lang w:eastAsia="vi-VN"/>
        </w:rPr>
      </w:pPr>
      <w:r w:rsidRPr="004B3278">
        <w:rPr>
          <w:rFonts w:eastAsia="Times New Roman" w:cs="Times New Roman"/>
          <w:i/>
          <w:iCs/>
          <w:szCs w:val="24"/>
          <w:lang w:eastAsia="vi-VN"/>
        </w:rPr>
        <w:t>Chính phủ ban hành Nghị định quy định chi tiết và hướng dẫn thi hành một số điều của Luật Công chứng.</w:t>
      </w:r>
    </w:p>
    <w:p w:rsidR="004B3278" w:rsidRPr="004B3278" w:rsidRDefault="004B3278" w:rsidP="004B3278">
      <w:pPr>
        <w:spacing w:after="0" w:line="240" w:lineRule="auto"/>
        <w:rPr>
          <w:rFonts w:eastAsia="Times New Roman" w:cs="Times New Roman"/>
          <w:b/>
          <w:bCs/>
          <w:szCs w:val="24"/>
          <w:lang w:eastAsia="vi-VN"/>
        </w:rPr>
      </w:pPr>
      <w:bookmarkStart w:id="2" w:name="chuong_1"/>
    </w:p>
    <w:p w:rsidR="004B3278" w:rsidRPr="004B3278" w:rsidRDefault="004B3278" w:rsidP="004B3278">
      <w:pPr>
        <w:spacing w:after="0" w:line="240" w:lineRule="auto"/>
        <w:jc w:val="center"/>
        <w:rPr>
          <w:rFonts w:eastAsia="Times New Roman" w:cs="Times New Roman"/>
          <w:szCs w:val="24"/>
          <w:lang w:val="en-US" w:eastAsia="vi-VN"/>
        </w:rPr>
      </w:pPr>
      <w:r w:rsidRPr="004B3278">
        <w:rPr>
          <w:rFonts w:eastAsia="Times New Roman" w:cs="Times New Roman"/>
          <w:b/>
          <w:bCs/>
          <w:szCs w:val="24"/>
          <w:lang w:val="en-US" w:eastAsia="vi-VN"/>
        </w:rPr>
        <w:t>Chương I</w:t>
      </w:r>
      <w:bookmarkEnd w:id="2"/>
    </w:p>
    <w:p w:rsidR="004B3278" w:rsidRPr="004B3278" w:rsidRDefault="004B3278" w:rsidP="004B3278">
      <w:pPr>
        <w:spacing w:after="0" w:line="240" w:lineRule="auto"/>
        <w:jc w:val="center"/>
        <w:rPr>
          <w:rFonts w:eastAsia="Times New Roman" w:cs="Times New Roman"/>
          <w:szCs w:val="24"/>
          <w:lang w:val="en-US" w:eastAsia="vi-VN"/>
        </w:rPr>
      </w:pPr>
      <w:bookmarkStart w:id="3" w:name="chuong_1_name"/>
      <w:r w:rsidRPr="004B3278">
        <w:rPr>
          <w:rFonts w:eastAsia="Times New Roman" w:cs="Times New Roman"/>
          <w:b/>
          <w:bCs/>
          <w:szCs w:val="24"/>
          <w:lang w:val="en-US" w:eastAsia="vi-VN"/>
        </w:rPr>
        <w:t>NHỮNG QUY ĐỊNH CHUNG</w:t>
      </w:r>
      <w:bookmarkEnd w:id="3"/>
    </w:p>
    <w:p w:rsidR="004B3278" w:rsidRPr="004B3278" w:rsidRDefault="004B3278" w:rsidP="004B3278">
      <w:pPr>
        <w:spacing w:after="0" w:line="240" w:lineRule="auto"/>
        <w:rPr>
          <w:rFonts w:eastAsia="Times New Roman" w:cs="Times New Roman"/>
          <w:b/>
          <w:bCs/>
          <w:szCs w:val="24"/>
          <w:lang w:val="en-US" w:eastAsia="vi-VN"/>
        </w:rPr>
      </w:pPr>
      <w:bookmarkStart w:id="4" w:name="dieu_1"/>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b/>
          <w:bCs/>
          <w:szCs w:val="24"/>
          <w:lang w:val="en-US" w:eastAsia="vi-VN"/>
        </w:rPr>
        <w:t>Điều 1. Phạm vi điều chỉnh</w:t>
      </w:r>
      <w:bookmarkEnd w:id="4"/>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Nghị định này quy định chi tiết và hướng dẫn thi hành một số điều của Luật Công chứng về chuyển đổi Phòng công chứng thành Văn phòng công chứng; hợp nhất, sáp nhập, chuyển nhượng Văn phòng công chứng; chính sách ưu đãi đối với Văn phòng công chứng thành lập tại các địa bàn có điều kiện kinh tế - xã hội khó khăn, đặc biệt khó khăn; điều kiện về trụ sở của Văn phòng công chứng; niêm yết việc thụ lý công chứng văn bản thỏa thuận phân chia di sản, văn bản khai nhận di sản; bảo hiểm trách nhiệm nghề nghiệp của công chứng viên và tổ chức xã hội - nghề nghiệp của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5" w:name="dieu_2"/>
      <w:r w:rsidRPr="004B3278">
        <w:rPr>
          <w:rFonts w:eastAsia="Times New Roman" w:cs="Times New Roman"/>
          <w:b/>
          <w:bCs/>
          <w:szCs w:val="24"/>
          <w:lang w:val="en-US" w:eastAsia="vi-VN"/>
        </w:rPr>
        <w:t>Điều 2. Đối tượng áp dụng</w:t>
      </w:r>
      <w:bookmarkEnd w:id="5"/>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Nghị định này áp dụng đối với công chứng viên, tổ chức hành nghề công chứng, tổ chức xã hội - nghề nghiệp của công chứng viên, người yêu cầu công chứng và cá nhân, cơ quan, tổ chức có liên quan.</w:t>
      </w:r>
    </w:p>
    <w:p w:rsidR="004B3278" w:rsidRPr="004B3278" w:rsidRDefault="004B3278" w:rsidP="004B3278">
      <w:pPr>
        <w:spacing w:after="0" w:line="240" w:lineRule="auto"/>
        <w:jc w:val="center"/>
        <w:rPr>
          <w:rFonts w:eastAsia="Times New Roman" w:cs="Times New Roman"/>
          <w:szCs w:val="24"/>
          <w:lang w:val="en-US" w:eastAsia="vi-VN"/>
        </w:rPr>
      </w:pPr>
      <w:bookmarkStart w:id="6" w:name="chuong_2"/>
      <w:r w:rsidRPr="004B3278">
        <w:rPr>
          <w:rFonts w:eastAsia="Times New Roman" w:cs="Times New Roman"/>
          <w:b/>
          <w:bCs/>
          <w:szCs w:val="24"/>
          <w:lang w:val="en-US" w:eastAsia="vi-VN"/>
        </w:rPr>
        <w:t>Chương II</w:t>
      </w:r>
      <w:bookmarkEnd w:id="6"/>
    </w:p>
    <w:p w:rsidR="004B3278" w:rsidRPr="004B3278" w:rsidRDefault="004B3278" w:rsidP="004B3278">
      <w:pPr>
        <w:spacing w:after="0" w:line="240" w:lineRule="auto"/>
        <w:jc w:val="center"/>
        <w:rPr>
          <w:rFonts w:eastAsia="Times New Roman" w:cs="Times New Roman"/>
          <w:szCs w:val="24"/>
          <w:lang w:val="en-US" w:eastAsia="vi-VN"/>
        </w:rPr>
      </w:pPr>
      <w:bookmarkStart w:id="7" w:name="chuong_2_name"/>
      <w:r w:rsidRPr="004B3278">
        <w:rPr>
          <w:rFonts w:eastAsia="Times New Roman" w:cs="Times New Roman"/>
          <w:b/>
          <w:bCs/>
          <w:szCs w:val="24"/>
          <w:lang w:val="en-US" w:eastAsia="vi-VN"/>
        </w:rPr>
        <w:t>TỔ CHỨC HÀNH NGHỀ CÔNG CHỨNG</w:t>
      </w:r>
      <w:bookmarkEnd w:id="7"/>
    </w:p>
    <w:p w:rsidR="004B3278" w:rsidRPr="004B3278" w:rsidRDefault="004B3278" w:rsidP="004B3278">
      <w:pPr>
        <w:spacing w:after="0" w:line="240" w:lineRule="auto"/>
        <w:rPr>
          <w:rFonts w:eastAsia="Times New Roman" w:cs="Times New Roman"/>
          <w:b/>
          <w:bCs/>
          <w:szCs w:val="24"/>
          <w:lang w:val="en-US" w:eastAsia="vi-VN"/>
        </w:rPr>
      </w:pPr>
      <w:bookmarkStart w:id="8" w:name="muc_1"/>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b/>
          <w:bCs/>
          <w:szCs w:val="24"/>
          <w:lang w:val="en-US" w:eastAsia="vi-VN"/>
        </w:rPr>
        <w:t>Mục 1.</w:t>
      </w:r>
      <w:r w:rsidRPr="004B3278">
        <w:rPr>
          <w:rFonts w:eastAsia="Times New Roman" w:cs="Times New Roman"/>
          <w:szCs w:val="24"/>
          <w:lang w:val="en-US" w:eastAsia="vi-VN"/>
        </w:rPr>
        <w:t xml:space="preserve"> </w:t>
      </w:r>
      <w:r w:rsidRPr="004B3278">
        <w:rPr>
          <w:rFonts w:eastAsia="Times New Roman" w:cs="Times New Roman"/>
          <w:b/>
          <w:bCs/>
          <w:szCs w:val="24"/>
          <w:lang w:val="en-US" w:eastAsia="vi-VN"/>
        </w:rPr>
        <w:t>CHUYỂN ĐỔI PHÒNG CÔNG CHỨNG THÀNH VĂN PHÒNG CÔNG CHỨNG</w:t>
      </w:r>
      <w:bookmarkEnd w:id="8"/>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9" w:name="dieu_3"/>
      <w:r w:rsidRPr="004B3278">
        <w:rPr>
          <w:rFonts w:eastAsia="Times New Roman" w:cs="Times New Roman"/>
          <w:b/>
          <w:bCs/>
          <w:szCs w:val="24"/>
          <w:lang w:val="en-US" w:eastAsia="vi-VN"/>
        </w:rPr>
        <w:t>Điều 3. Mục tiêu, yêu cầu của việc chuyển đổi Phòng công chứng</w:t>
      </w:r>
      <w:bookmarkEnd w:id="9"/>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1. Tiếp tục thực hiện chủ trương xã hội </w:t>
      </w:r>
      <w:r w:rsidRPr="004B3278">
        <w:rPr>
          <w:rFonts w:eastAsia="Times New Roman" w:cs="Times New Roman"/>
          <w:szCs w:val="24"/>
          <w:shd w:val="solid" w:color="FFFFFF" w:fill="auto"/>
          <w:lang w:val="en-US" w:eastAsia="vi-VN"/>
        </w:rPr>
        <w:t>hóa</w:t>
      </w:r>
      <w:r w:rsidRPr="004B3278">
        <w:rPr>
          <w:rFonts w:eastAsia="Times New Roman" w:cs="Times New Roman"/>
          <w:szCs w:val="24"/>
          <w:lang w:val="en-US" w:eastAsia="vi-VN"/>
        </w:rPr>
        <w:t xml:space="preserve"> hoạt động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Bảo đảm hài hòa lợi ích của Nhà nước và công chứng viên, viên chức, người lao động làm việc tại Phòng công chứng được chuyển đổi.</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Thực hiện công khai, minh bạch, dân chủ, khách quan, theo đúng quy định của Luật Công chứng, Nghị định này và các văn bản quy phạm pháp luật có liên quan, bảo đảm tiếp tục duy trì, kế thừa hoạt động của Phòng công chứng được chuyển đổi.</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4. Thực hiện theo lộ trình, phù hợp với Quy hoạch tổng thể phát triển tổ chức hành nghề công chứng đã được Thủ tướng Chính phủ phê duyệt.</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0" w:name="dieu_4"/>
      <w:r w:rsidRPr="004B3278">
        <w:rPr>
          <w:rFonts w:eastAsia="Times New Roman" w:cs="Times New Roman"/>
          <w:b/>
          <w:bCs/>
          <w:szCs w:val="24"/>
          <w:lang w:val="en-US" w:eastAsia="vi-VN"/>
        </w:rPr>
        <w:t>Điều 4. Nguyên tắc chuyển đổi Phòng công chứng</w:t>
      </w:r>
      <w:bookmarkEnd w:id="10"/>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Văn phòng công chứng được thành lập từ việc chuyển đổi Phòng công chứng phải kế thừa toàn bộ quyền, nghĩa vụ và tiếp nhận toàn bộ hồ sơ công chứng của Phòng công chứng đó.</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Bảo đảm chế độ, chính sách đối với công chứng viên, viên chức, người lao động sau khi Phòng công chứng chấm dứt hoạt động theo quy định của pháp luật về viên chức và pháp luật về lao động.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Văn phòng công chứng được thành lập từ việc chuyển đổi Phòng công chứng phải ký hợp đồng lao động với công chứng viên, viên chức, người lao động của Phòng công chứng đó, trừ trường hợp những người này không có nhu cầu tiếp tục làm việc tại Văn phòng công chứng. Nội dung, thời hạn, điều kiện hợp đồng được thực hiện theo quy định của Nghị định này và các quy định pháp luật khác có liên quan.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4. Bảo đảm tài sản thuộc sở hữu của Nhà nước đang do Phòng công chứng quản lý, sử dụng được xử lý theo đúng quy định của pháp luật, không bị thất </w:t>
      </w:r>
      <w:r w:rsidRPr="004B3278">
        <w:rPr>
          <w:rFonts w:eastAsia="Times New Roman" w:cs="Times New Roman"/>
          <w:szCs w:val="24"/>
          <w:shd w:val="solid" w:color="FFFFFF" w:fill="auto"/>
          <w:lang w:val="en-US" w:eastAsia="vi-VN"/>
        </w:rPr>
        <w:t>thoát</w:t>
      </w:r>
      <w:r w:rsidRPr="004B3278">
        <w:rPr>
          <w:rFonts w:eastAsia="Times New Roman" w:cs="Times New Roman"/>
          <w:szCs w:val="24"/>
          <w:lang w:val="en-US" w:eastAsia="vi-VN"/>
        </w:rPr>
        <w:t xml:space="preserve"> trong quá trình chuyển đổi.</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1" w:name="dieu_5"/>
      <w:r w:rsidRPr="004B3278">
        <w:rPr>
          <w:rFonts w:eastAsia="Times New Roman" w:cs="Times New Roman"/>
          <w:b/>
          <w:bCs/>
          <w:szCs w:val="24"/>
          <w:lang w:val="en-US" w:eastAsia="vi-VN"/>
        </w:rPr>
        <w:t>Điều 5. Các trường hợp chuyển đổi Phòng công chứng</w:t>
      </w:r>
      <w:bookmarkEnd w:id="11"/>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Các địa bàn cấp huyện đã thành lập đủ số tổ chức hành nghề công chứng theo Quy hoạch tổng thể phát triển tổ chức hành nghề công chứng đã được Thủ tướng Chính phủ phê duyệt và số lượng Văn phòng công chứng nhiều hơn số lượng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Các địa bàn cấp huyện chưa thành lập đủ số tổ chức hành nghề công chứng theo Quy hoạch tổng thể phát triển tổ chức hành nghề công chứng đã được Thủ tướng Chính phủ phê duyệt, nhưng có ít nhất 02 Văn phòng công chứng đã hoạt động ổn định từ 02 năm trở lên, kể từ ngày đăng ký hoạt động.</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2" w:name="dieu_6"/>
      <w:r w:rsidRPr="004B3278">
        <w:rPr>
          <w:rFonts w:eastAsia="Times New Roman" w:cs="Times New Roman"/>
          <w:b/>
          <w:bCs/>
          <w:szCs w:val="24"/>
          <w:lang w:val="en-US" w:eastAsia="vi-VN"/>
        </w:rPr>
        <w:t>Điều 6. Kế hoạch chuyển đổi Phòng công chứng</w:t>
      </w:r>
      <w:bookmarkEnd w:id="12"/>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1. Đối với các tỉnh, thành phố trực thuộc Trung ương có từ 05 Phòng công chứng trở lên thì Sở Tư pháp chủ trì, phối hợp với Sở Tài chính, Sở Nội vụ, Sở Lao động - Thương binh và Xã hội xây dựng </w:t>
      </w:r>
      <w:r w:rsidRPr="004B3278">
        <w:rPr>
          <w:rFonts w:eastAsia="Times New Roman" w:cs="Times New Roman"/>
          <w:szCs w:val="24"/>
          <w:shd w:val="solid" w:color="FFFFFF" w:fill="auto"/>
          <w:lang w:val="en-US" w:eastAsia="vi-VN"/>
        </w:rPr>
        <w:t>Kế hoạch</w:t>
      </w:r>
      <w:r w:rsidRPr="004B3278">
        <w:rPr>
          <w:rFonts w:eastAsia="Times New Roman" w:cs="Times New Roman"/>
          <w:szCs w:val="24"/>
          <w:lang w:val="en-US" w:eastAsia="vi-VN"/>
        </w:rPr>
        <w:t xml:space="preserve"> chuyển đổi các Phòng công chứng trình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tỉnh, thành phố trực thuộc Trung ương (sau đây gọi là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phê duyệt.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quyết định phê duyệt Kế hoạch chuyển đổi các Phòng công chứng. Trong trường hợp cần thiết thì lấy ý kiến bằng văn bản của Bộ Tư pháp trước khi quyết định.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Kế hoạch chuyển đổi các Phòng công chứng bao gồm các nội dung chủ yếu sau đây: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a) Sự cần thiết chuyển đổi các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b) Số lượng các Phòng công chứng thuộc trường hợp chuyển đổi theo quy định tại Điều 5 của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 Lộ trình chuyển đổi các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d) Trách nhiệm tổ chức thực hiện Kế hoạch.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3. Căn cứ vào </w:t>
      </w:r>
      <w:r w:rsidRPr="004B3278">
        <w:rPr>
          <w:rFonts w:eastAsia="Times New Roman" w:cs="Times New Roman"/>
          <w:szCs w:val="24"/>
          <w:shd w:val="solid" w:color="FFFFFF" w:fill="auto"/>
          <w:lang w:val="en-US" w:eastAsia="vi-VN"/>
        </w:rPr>
        <w:t>Kế hoạch</w:t>
      </w:r>
      <w:r w:rsidRPr="004B3278">
        <w:rPr>
          <w:rFonts w:eastAsia="Times New Roman" w:cs="Times New Roman"/>
          <w:szCs w:val="24"/>
          <w:lang w:val="en-US" w:eastAsia="vi-VN"/>
        </w:rPr>
        <w:t xml:space="preserve"> chuyển đổi các Phòng công chứng đã được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phê duyệt, Sở Tư pháp phối hợp với Sở Tài chính, Sở Nội vụ, Sở Lao động - Thương binh và Xã hội xây dựng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chuyển đổi đối với từng Phòng công chứng theo trình tự, thủ tục quy định tại Điều 7 của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 xml:space="preserve">Đối với các tỉnh, thành phố trực thuộc Trung ương có dưới 05 Phòng công chứng thì không cần thiết phải xây dựng </w:t>
      </w:r>
      <w:r w:rsidRPr="004B3278">
        <w:rPr>
          <w:rFonts w:eastAsia="Times New Roman" w:cs="Times New Roman"/>
          <w:szCs w:val="24"/>
          <w:shd w:val="solid" w:color="FFFFFF" w:fill="auto"/>
          <w:lang w:val="en-US" w:eastAsia="vi-VN"/>
        </w:rPr>
        <w:t>Kế hoạch</w:t>
      </w:r>
      <w:r w:rsidRPr="004B3278">
        <w:rPr>
          <w:rFonts w:eastAsia="Times New Roman" w:cs="Times New Roman"/>
          <w:szCs w:val="24"/>
          <w:lang w:val="en-US" w:eastAsia="vi-VN"/>
        </w:rPr>
        <w:t xml:space="preserve"> chuyển đổi mà xây dựng ngay Đề án chuyển đổi từng Phòng công chứng theo quy định tại Điều 7 của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3" w:name="dieu_7"/>
      <w:r w:rsidRPr="004B3278">
        <w:rPr>
          <w:rFonts w:eastAsia="Times New Roman" w:cs="Times New Roman"/>
          <w:b/>
          <w:bCs/>
          <w:szCs w:val="24"/>
          <w:lang w:val="en-US" w:eastAsia="vi-VN"/>
        </w:rPr>
        <w:t xml:space="preserve">Điều 7. </w:t>
      </w:r>
      <w:r w:rsidRPr="004B3278">
        <w:rPr>
          <w:rFonts w:eastAsia="Times New Roman" w:cs="Times New Roman"/>
          <w:b/>
          <w:bCs/>
          <w:szCs w:val="24"/>
          <w:shd w:val="solid" w:color="FFFFFF" w:fill="auto"/>
          <w:lang w:val="en-US" w:eastAsia="vi-VN"/>
        </w:rPr>
        <w:t>Đề án</w:t>
      </w:r>
      <w:r w:rsidRPr="004B3278">
        <w:rPr>
          <w:rFonts w:eastAsia="Times New Roman" w:cs="Times New Roman"/>
          <w:b/>
          <w:bCs/>
          <w:szCs w:val="24"/>
          <w:lang w:val="en-US" w:eastAsia="vi-VN"/>
        </w:rPr>
        <w:t xml:space="preserve"> chuyển đổi Phòng công chứng</w:t>
      </w:r>
      <w:bookmarkEnd w:id="13"/>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Sở Tư pháp chủ trì, phối hợp với Sở Tài chính, Sở Nội vụ, Sở Lao động - Thương binh và Xã hội, tổ chức xã hội - nghề nghiệp của công chứng viên (ở những nơi đã thành lập) tổ chức họp với công chứng viên, viên chức, người lao động đang làm việc tại Phòng công chứng dự kiến chuyển đổi, có sự tham gia của các tổ chức chính trị, chính trị - xã hội của Phòng công chứng để đánh giá tình hình tổ chức, hoạt động của Phòng công chứng; xem xét nguyện vọng và đề xuất chế độ, chính sách đối với các công chứng viên, viên chức, người lao động đang làm việc tại Phòng công chứng; phương án xử lý tài sản của Phòng công chứng và các vấn đề khác có liên quan đến việc chuyển đổi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Nội dung cuộc họp phải được lập thành biên bản.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Trên cơ sở kết quả cuộc họp với Phòng công chứng được dự kiến chuyển đổi, Sở Tư pháp chủ trì, </w:t>
      </w:r>
      <w:r w:rsidRPr="004B3278">
        <w:rPr>
          <w:rFonts w:eastAsia="Times New Roman" w:cs="Times New Roman"/>
          <w:szCs w:val="24"/>
          <w:shd w:val="solid" w:color="FFFFFF" w:fill="auto"/>
          <w:lang w:val="en-US" w:eastAsia="vi-VN"/>
        </w:rPr>
        <w:t>phối hợp</w:t>
      </w:r>
      <w:r w:rsidRPr="004B3278">
        <w:rPr>
          <w:rFonts w:eastAsia="Times New Roman" w:cs="Times New Roman"/>
          <w:szCs w:val="24"/>
          <w:lang w:val="en-US" w:eastAsia="vi-VN"/>
        </w:rPr>
        <w:t xml:space="preserve"> với Sở Nội vụ, Sở Tài chính, Sở Lao động - Thương binh và Xã hội xây dựng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chuyển đổi Phòng công chứng, trình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bao gồm các nội dung chủ yếu sau đây: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a) Sự cần thiết chuyển đổi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b) Kết quả khảo sát, đánh giá về tổ chức, hoạt động trong 03 năm gần nhất của Phòng công chứng dự kiến chuyển đổi;</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 Giá quyền nhận chuyển đổi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Giá quyền nhận chuyển đổi Phòng công chứng được xác định trên cơ sở đánh giá về tổ chức và hoạt động, uy tín của Phòng công chứng dự kiến chuyển đổi, số lượng hợp đồng, giao dịch đã công chứng của Phòng công chứng trong 03 năm gần nhất. Giá quyền nhận chuyển đổi Phòng công chứng không bao gồm giá trị trụ sở, trang thiết bị và tài sản khác thuộc sở hữu của Nhà nước mà Phòng công chứng đó đang quản lý, sử dụng;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d) Phương thức chuyển đổi Phòng công chứng theo quy định tại Điều 8 của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đ) Dự kiến phương án giải quyết chế độ, chính sách đối với công chứng viên, viên chức, người lao động; phương án xử lý tài sản và các vấn đề khác của Phòng công chứng sau khi chuyển đổi;</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e) Trách nhiệm tổ chức thực hiện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của Sở Tư pháp, Sở Nội vụ, Sở Lao động - Thương binh và Xã hội và các cơ quan, tổ chức có liên quan.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3. Trong thời hạn 45 ngày, kể từ ngày nhận được Đề án chuyển đổi Phòng công chứng,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ra Quyết định phê duyệt Đề án. Trong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cần thiết thì lấy ý kiến bằng văn bản của Bộ Tư pháp trước khi quyết định.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4. Trong thời hạn 07 ngày làm việc, kể từ ngày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ra Quyết định phê duyệt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chuyển đổi Phòng công chứng, Sở Tư pháp thông báo bằng văn bản cho Phòng công chứng dự kiến chuyển đổi, tổ chức xã hội - nghề nghiệp của công chứng viên (ở những nơi đã thành lập) về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chuyển đổi đã được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phê duyệt; trường hợp Ủy ban nhân dân cấp tỉnh phê duyệt phương thức đấu giá quyền nhận chuyển đổi thì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được thông báo đến cả các </w:t>
      </w:r>
      <w:r w:rsidRPr="004B3278">
        <w:rPr>
          <w:rFonts w:eastAsia="Times New Roman" w:cs="Times New Roman"/>
          <w:szCs w:val="24"/>
          <w:shd w:val="solid" w:color="FFFFFF" w:fill="auto"/>
          <w:lang w:val="en-US" w:eastAsia="vi-VN"/>
        </w:rPr>
        <w:t>tổ chức</w:t>
      </w:r>
      <w:r w:rsidRPr="004B3278">
        <w:rPr>
          <w:rFonts w:eastAsia="Times New Roman" w:cs="Times New Roman"/>
          <w:szCs w:val="24"/>
          <w:lang w:val="en-US" w:eastAsia="vi-VN"/>
        </w:rPr>
        <w:t xml:space="preserve"> hành nghề công chứng đang hoạt động tại địa phương.</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4" w:name="dieu_8"/>
      <w:r w:rsidRPr="004B3278">
        <w:rPr>
          <w:rFonts w:eastAsia="Times New Roman" w:cs="Times New Roman"/>
          <w:b/>
          <w:bCs/>
          <w:szCs w:val="24"/>
          <w:lang w:val="en-US" w:eastAsia="vi-VN"/>
        </w:rPr>
        <w:t>Điều 8. Phương thức chuyển đổi Phòng công chứng</w:t>
      </w:r>
      <w:bookmarkEnd w:id="14"/>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 xml:space="preserve">1. Quyền nhận chuyển đổi Phòng công chứng được chuyển giao cho chính các công chứng viên đang làm việc tại Phòng công chứng theo giá quyền nhận chuyển đổi Phòng công chứng đã được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phê duyệt. Các công chứng viên của Phòng công chứng dự kiến chuyển đổi đều có quyền tham gia nhận chuyển đổi Phòng công chứng. Trưởng Phòng công chứng có trách nhiệm tập hợp danh sách công chứng viên của Phòng công chứng có nhu cầu nhận chuyển đổi Phòng công chứng gửi Sở Tư pháp để báo cáo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Quyền nhận chuyển đổi Phòng công chứng được tổ chức đấu giá trong trường hợp có giá trị lớn và có nhiều công chứng viên khác đang hành nghề trên địa bàn đủ điều kiện tham gia đấu giá quyền nhận chuyển đổi theo quy định tại Điều 9 của Nghị định này có văn bản đề nghị được tham gia đấu giá quyền nhận chuyển đổi Phòng công chứng. Trong trường hợp này, Sở Tư pháp phối hợp với Sở Tài chính có văn bản đề nghị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thành lập Hội đồng đấu giá quyền nhận chuyển đổi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Trường hợp các công chứng viên tham gia đấu giá trả giá ngang nhau thì các công chứng viên đang làm việc tại Phòng công chứng được chuyển đổi được ưu tiên trúng đấu giá; trường hợp có nhiều hồ sơ của các công chứng viên đang làm việc tại Phòng công chứng được chuyển đổi cùng trả giá cao nhất hoặc các công chứng viên không làm việc tại Phòng công chứng được chuyển đổi cùng trả giá cao nhất thì Hội đồng đấu giá tổ chức bốc thăm để chọn ra người trúng đấu giá.</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5" w:name="dieu_9"/>
      <w:r w:rsidRPr="004B3278">
        <w:rPr>
          <w:rFonts w:eastAsia="Times New Roman" w:cs="Times New Roman"/>
          <w:b/>
          <w:bCs/>
          <w:szCs w:val="24"/>
          <w:lang w:val="en-US" w:eastAsia="vi-VN"/>
        </w:rPr>
        <w:t>Điều 9. Điều kiện của người tham gia đấu giá quyền nhận chuyển đổi Phòng công chứng</w:t>
      </w:r>
      <w:bookmarkEnd w:id="15"/>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Người tham gia đấu giá quyền nhận chuyển đổi Phòng công chứng phải là công chứng viên đang hành nghề trên địa bàn cấp tỉnh có Phòng công chứng dự kiến chuyển đổi, trong đó người dự kiến làm Trưởng Văn phòng công chứng phải hành nghề công chứng từ 02 năm trở lên.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Công chứng viên đang là Trưởng Văn phòng công chứng hoặc đang là công chứng viên hợp danh của Văn phòng công chứng không được tham gia đấu giá quyền nhận chuyển đổi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Hồ sơ đăng ký tham gia đấu giá quyền nhận chuyển đổi Phòng công chứng phải có sự tham gia của 02 công chứng viên trở lên và cam kết bằng văn bản của các công chứng viên tham gia đấu giá quyền nhận chuyển đổi về </w:t>
      </w:r>
      <w:r w:rsidRPr="004B3278">
        <w:rPr>
          <w:rFonts w:eastAsia="Times New Roman" w:cs="Times New Roman"/>
          <w:szCs w:val="24"/>
          <w:shd w:val="solid" w:color="FFFFFF" w:fill="auto"/>
          <w:lang w:val="en-US" w:eastAsia="vi-VN"/>
        </w:rPr>
        <w:t>việc</w:t>
      </w:r>
      <w:r w:rsidRPr="004B3278">
        <w:rPr>
          <w:rFonts w:eastAsia="Times New Roman" w:cs="Times New Roman"/>
          <w:szCs w:val="24"/>
          <w:lang w:val="en-US" w:eastAsia="vi-VN"/>
        </w:rPr>
        <w:t xml:space="preserve"> tiếp nhận và ký hợp đồng lao động với các công chứng viên, viên chức, người lao động của Phòng công chứng được chuyển đổi, bảo đảm cho những người này được tiếp tục làm công việc chuyên môn của mình như tại Phòng công chứng được chuyển đổi.</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6" w:name="dieu_10"/>
      <w:r w:rsidRPr="004B3278">
        <w:rPr>
          <w:rFonts w:eastAsia="Times New Roman" w:cs="Times New Roman"/>
          <w:b/>
          <w:bCs/>
          <w:szCs w:val="24"/>
          <w:lang w:val="en-US" w:eastAsia="vi-VN"/>
        </w:rPr>
        <w:t>Điều 10. Quyết định chuyển đổi Phòng công chứng</w:t>
      </w:r>
      <w:bookmarkEnd w:id="16"/>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1. Ủy ban</w:t>
      </w:r>
      <w:r w:rsidRPr="004B3278">
        <w:rPr>
          <w:rFonts w:eastAsia="Times New Roman" w:cs="Times New Roman"/>
          <w:szCs w:val="24"/>
          <w:lang w:val="en-US" w:eastAsia="vi-VN"/>
        </w:rPr>
        <w:t xml:space="preserve"> nhân dân cấp tỉnh ra Quyết định chuyển đổi Phòng công chứng thành Văn phòng công chứng theo đề nghị của Sở Tư pháp.</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Văn phòng công chứng thực hiện thủ tục đăng ký hoạt động theo quy định của Luật Công chứng. Phòng công chứng được chuyển đổi tiếp tục hoạt động cho đến ngày Văn phòng công chứng được cấp giấy đăng ký hoạt động.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Trong thời hạn 15 ngày, kể từ ngày được cấp Giấy đăng ký hoạt động, Văn phòng công chứng phải ký hợp đồng lao động với công chứng viên, viên chức, người lao động của Phòng công chứng được chuyển đổi.</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Hợp đồng lao động giữa Văn phòng công chứng với công chứng viên hoặc viên chức của Phòng công chứng được chuyển đổi là hợp đồng không xác định thời hạn, trừ trường hợp các bên có thỏa thuận khác.</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Hợp đồng lao động giữa Văn phòng công chứng với người lao động của Phòng công chứng được chuyển đổi là loại hợp đồng mà người lao động đã giao kết trước đó với Phòng công chứng, trừ trường hợp các bên có thỏa thuận khác.</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7" w:name="dieu_11"/>
      <w:r w:rsidRPr="004B3278">
        <w:rPr>
          <w:rFonts w:eastAsia="Times New Roman" w:cs="Times New Roman"/>
          <w:b/>
          <w:bCs/>
          <w:szCs w:val="24"/>
          <w:lang w:val="en-US" w:eastAsia="vi-VN"/>
        </w:rPr>
        <w:t xml:space="preserve">Điều 11. Chế độ, chính sách đối </w:t>
      </w:r>
      <w:r w:rsidRPr="004B3278">
        <w:rPr>
          <w:rFonts w:eastAsia="Times New Roman" w:cs="Times New Roman"/>
          <w:b/>
          <w:bCs/>
          <w:szCs w:val="24"/>
          <w:shd w:val="solid" w:color="FFFFFF" w:fill="auto"/>
          <w:lang w:val="en-US" w:eastAsia="vi-VN"/>
        </w:rPr>
        <w:t>với</w:t>
      </w:r>
      <w:r w:rsidRPr="004B3278">
        <w:rPr>
          <w:rFonts w:eastAsia="Times New Roman" w:cs="Times New Roman"/>
          <w:b/>
          <w:bCs/>
          <w:szCs w:val="24"/>
          <w:lang w:val="en-US" w:eastAsia="vi-VN"/>
        </w:rPr>
        <w:t xml:space="preserve"> công chứng viên, viên chức, người lao động của Phòng công chứng được chuyển đổi</w:t>
      </w:r>
      <w:bookmarkEnd w:id="17"/>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Việc giải quyết chế độ, chính sách đối với công chứng viên, viên chức, người lao động của Phòng công chứng được chuyển đổi thực hiện theo quy định của pháp luật đối với đơn vị sự nghiệp chấm dứt hoạt động.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Trường hợp công chứng viên của Phòng công chứng được chuyển đổi chuyển sang hành nghề tại Văn phòng công chứng thì chấm dứt hợp đồng làm việc với Phòng công chứng và được giải quyết chế độ, chính sách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Công chứng viên, viên chức khác đủ điều kiện nghỉ hưu hoặc thôi việc thì được giải quyết chế độ, chính sách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Trường hợp người lao động của Phòng công chứng được chuyển đổi chuyển sang làm việc tại Văn phòng công chứng thì chấm dứt hợp đồng lao động với Phòng công chứng và được giải quyết chế độ, chính sách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Người lao động đủ điều kiện nghỉ hưu hoặc thôi việc thì được giải quyết chế độ, chính sách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Sở Nội vụ chủ trì, phối hợp với Sở Tư pháp, Sở Tài chính, Sở Lao động - Thương binh và Xã hội trình Ủy ban nhân dân cấp tỉnh xem xét, quyết định chế độ, chính sách đối với công chứng viên, viên chức, người lao động của Phòng công chứng được chuyển đổi quy định tại Khoản 1,2 và Khoản 3 Điều này.</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8" w:name="dieu_12"/>
      <w:r w:rsidRPr="004B3278">
        <w:rPr>
          <w:rFonts w:eastAsia="Times New Roman" w:cs="Times New Roman"/>
          <w:b/>
          <w:bCs/>
          <w:szCs w:val="24"/>
          <w:lang w:val="en-US" w:eastAsia="vi-VN"/>
        </w:rPr>
        <w:t>Điều 12. Xử lý tài sản của Phòng công chứng được chuyển đổi</w:t>
      </w:r>
      <w:bookmarkEnd w:id="18"/>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Việc xử lý tài sản thuộc sở hữu của Nhà nước đang do Phòng công chứng quản lý, sử dụng được thực hiện theo quy định của pháp luật về quản lý, sử dụng tài sản nhà nước.</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Sở Tài chính chủ trì, </w:t>
      </w:r>
      <w:r w:rsidRPr="004B3278">
        <w:rPr>
          <w:rFonts w:eastAsia="Times New Roman" w:cs="Times New Roman"/>
          <w:szCs w:val="24"/>
          <w:shd w:val="solid" w:color="FFFFFF" w:fill="auto"/>
          <w:lang w:val="en-US" w:eastAsia="vi-VN"/>
        </w:rPr>
        <w:t>phối hợp</w:t>
      </w:r>
      <w:r w:rsidRPr="004B3278">
        <w:rPr>
          <w:rFonts w:eastAsia="Times New Roman" w:cs="Times New Roman"/>
          <w:szCs w:val="24"/>
          <w:lang w:val="en-US" w:eastAsia="vi-VN"/>
        </w:rPr>
        <w:t xml:space="preserve"> với Sở Tư pháp trình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việc xử lý tài sản quy định tại Khoản 1 Điều này.</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19" w:name="muc_2"/>
      <w:r w:rsidRPr="004B3278">
        <w:rPr>
          <w:rFonts w:eastAsia="Times New Roman" w:cs="Times New Roman"/>
          <w:b/>
          <w:bCs/>
          <w:szCs w:val="24"/>
          <w:lang w:val="en-US" w:eastAsia="vi-VN"/>
        </w:rPr>
        <w:t>Mục 2. HỢP NHẤT, SÁP NHẬP, CHUYỂN NHƯỢNG VĂN PHÒNG CÔNG CHỨNG</w:t>
      </w:r>
      <w:bookmarkEnd w:id="19"/>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20" w:name="dieu_13"/>
      <w:r w:rsidRPr="004B3278">
        <w:rPr>
          <w:rFonts w:eastAsia="Times New Roman" w:cs="Times New Roman"/>
          <w:b/>
          <w:bCs/>
          <w:szCs w:val="24"/>
          <w:lang w:val="en-US" w:eastAsia="vi-VN"/>
        </w:rPr>
        <w:t>Điều 13. Hợp nhất Văn phòng công chứng</w:t>
      </w:r>
      <w:bookmarkEnd w:id="20"/>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Các Văn phòng công chứng hợp nhất theo quy định tại Khoản 1 Điều 28 của Luật Công chứng nộp 01 (một) bộ hồ sơ hợp nhất tại Sở Tư pháp nơi đăng ký hoạt động. Hồ sơ bao gồm: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a) Hợp đồng hợp nhất Văn phòng công chứng, trong đó có các nội dung chủ yếu sau: Tên, địa chỉ trụ sở của các Văn phòng công chứng được hợp nhất; tên, địa chỉ trụ sở của Văn phòng công chứng hợp nhất; thời gian thực hiện hợp nhất; phương án chuyển tài sản của các Văn phòng công chứng được hợp nhất sang Văn phòng công chứng hợp nhất; phương án sử dụng lao động của Văn phòng công chứng hợp nhất; việc kế thừa toàn bộ quyền, nghĩa vụ và lợi ích hợp pháp của các Văn phòng công chứng được hợp nhất và các nội dung khác có liên quan.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Mỗi Văn phòng công chứng hợp nhất cử một công chứng viên hợp danh làm đại diện để ký kết hợp đồng hợp nhất;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b) Kê khai thuế, báo cáo tài chính trong 03 (ba) năm gần nhất đã được kiểm toán của các Văn phòng công chứng được hợp nhất tính đến ngày đề nghị hợp nhất;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 Biên bản kiểm kê các hồ sơ công chứng và biên bản kiểm kê tài sản hiện có của các Văn phòng công chứng được hợp nhất;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d) Danh sách các công chứng viên hợp danh và công chứng viên làm việc theo chế độ hợp đồng tại các Văn phòng công chứng được hợp nhất;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đ) Quyết định cho phép thành lập và giấy đăng ký hoạt động của các Văn phòng công chứng được hợp nhất.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Trong thời hạn 20 ngày, kể từ ngày nhận đủ hồ sơ hợp lệ theo quy định tại Khoản 1 Điều này, Sở Tư pháp lấy ý kiến của tổ chức xã hội - nghề nghiệp của công chứng viên (ở những nơi đã thành lập), trình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cho phép hợp nhất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3. Trong thời hạn 15 ngày, kể từ ngày nhận được đề nghị của Sở Tư pháp,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cho phép hợp nhất Văn phòng công chứng;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từ chối phải thông báo bằng văn bản và nêu rõ lý do.</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Trong thời hạn 15 ngày, kể từ ngày nhận được Quyết định cho phép hợp nhất, Văn phòng công chứng hợp nhất phải đăng ký hoạt động tại Sở Tư pháp. Khi đăng ký hoạt động phải có đơn đăng ký hoạt động, Quyết định cho phép hợp nhất Văn phòng công chứng, giấy tờ chứng minh về trụ sở của Văn phòng công chứng và giấy đăng ký hành nghề của các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Trong thời hạn 10 ngày làm việc, kể từ ngày nhận đủ hồ sơ đăng ký hoạt động, Sở Tư pháp cấp giấy đăng ký hoạt động cho Văn phòng công chứng hợp nhất, đồng thời thực hiện việc xóa tên các Văn phòng công chứng được hợp nhất khỏi danh sách đăng ký hoạt động; trường hợp từ chối phải thông báo bằng văn bản và nêu rõ lý do.</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5. Trong thời gian làm thủ tục hợp nhất, các Văn phòng công chứng được hợp nhất tiếp tục hoạt động cho đến khi Văn phòng công chứng hợp nhất được Sở Tư pháp cấp giấy đăng ký hoạt động. Văn phòng công chứng hợp nhất kế thừa toàn bộ quyền, nghĩa vụ, yêu cầu công chứng đang thực hiện tại các Văn phòng công chứng được hợp nhất và có trách nhiệm lưu trữ toàn bộ hồ sơ công chứng của các Văn phòng công chứng được hợp nhất.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6. Việc cung cấp thông tin, đăng báo nội dung đăng ký hoạt động của Văn phòng công chứng hợp nhất thực hiện theo quy định tại Điều 25, 26 của Luật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21" w:name="dieu_14"/>
      <w:r w:rsidRPr="004B3278">
        <w:rPr>
          <w:rFonts w:eastAsia="Times New Roman" w:cs="Times New Roman"/>
          <w:b/>
          <w:bCs/>
          <w:szCs w:val="24"/>
          <w:lang w:val="en-US" w:eastAsia="vi-VN"/>
        </w:rPr>
        <w:t>Điều 14. Sáp nhập Văn phòng công chứng</w:t>
      </w:r>
      <w:bookmarkEnd w:id="21"/>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Các Văn phòng công chứng sáp nhập theo quy định tại Khoản 2 Điều 28 của Luật Công chứng nộp 01 (một) bộ hồ sơ sáp nhập tại Sở Tư pháp nơi đăng ký hoạt động. Hồ sơ bao gồm: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a) Hợp đồng</w:t>
      </w:r>
      <w:r w:rsidRPr="004B3278">
        <w:rPr>
          <w:rFonts w:eastAsia="Times New Roman" w:cs="Times New Roman"/>
          <w:szCs w:val="24"/>
          <w:lang w:val="en-US" w:eastAsia="vi-VN"/>
        </w:rPr>
        <w:t xml:space="preserve"> sáp nhập Văn phòng công chứng, trong đó có các nội dung chủ yếu sau: Tên, địa chỉ trụ sở của các Văn phòng công chứng bị sáp nhập; tên, địa chỉ trụ sở của Văn phòng công chứng nhận sáp nhập; thời gian thực hiện sáp nhập; phương án chuyển tài sản của các Văn phòng công chứng bị sáp nhập sang Văn phòng công chứng nhận sáp nhập; phương án sử dụng lao động của Văn phòng công chứng nhận sáp nhập; việc kế thừa toàn bộ quyền, nghĩa vụ và lợi ích hợp pháp của các Văn phòng công chứng bị sáp nhập và các nội dung khác có liên quan.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Mỗi Văn phòng công chứng sáp nhập cử một công chứng viên hợp danh làm đại diện để ký kết hợp đồng sáp nhập.</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b) Kê khai thuế, báo cáo tài chính trong 03 (ba) năm gần nhất đã được kiểm toán của các Văn phòng công chứng tính đến ngày đề nghị sáp nhập;</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 Biên bản kiểm kê hồ sơ công chứng và biên bản kiểm kê tài sản hiện có của các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d) Danh sách các công chứng viên hợp danh và công chứng viên làm việc theo chế độ hợp đồng tại các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đ) Quyết định cho phép thành lập và giấy đăng ký hoạt động của các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Trong thời hạn 20 ngày, kể từ ngày nhận đủ hồ sơ hợp lệ theo quy định tại Khoản 1 Điều này, Sở Tư pháp lấy ý kiến của tổ chức xã hội - nghề nghiệp của công chứng viên (ở những nơi đã thành lập), trình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cho phép sáp nhập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3. Trong thời hạn 15 ngày, kể từ ngày nhận được đề nghị của Sở Tư pháp,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cho phép sáp nhập Văn phòng công chứng; trường hợp từ chối phải thông báo bằng văn bản và nêu rõ lý do.</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Trong thời hạn 15 ngày, kể từ ngày nhận được Quyết định cho phép sáp nhập, Văn phòng công chứng nhận sáp nhập phải thực hiện thay đổi nội dung đăng ký hoạt động theo quy định tại Điều 24 của Luật Công chứng. Hồ sơ đề nghị thay đổi nội dung đăng ký hoạt động bao gồm: Đơn đề nghị, Quyết định cho phép sáp nhập Văn phòng công chứng, giấy tờ chứng minh về trụ sở của Văn phòng công chứng nhận sáp nhập và giấy đăng ký hành nghề của các công chứng viên đang hành nghề tại các Văn phòng công chứng bị sáp nhập.</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5. Trong thời gian làm thủ tục sáp nhập, các Văn phòng công chứng bị sáp nhập tiếp tục hoạt động cho đến khi Văn phòng công chứng nhận sáp nhập được thay đổi nội dung đăng ký hoạt động. Văn phòng công chứng nhận sáp nhập kế thừa toàn bộ quyền, nghĩa vụ, yêu cầu công chứng đang thực hiện tại các Văn phòng công chứng bị sáp nhập và có trách nhiệm lưu trữ toàn bộ hồ sơ công chứng của các Văn phòng công chứng bị sáp nhập.</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6. Việc cung cấp thông tin, đăng báo nội dung đăng ký hoạt động của Văn phòng công chứng nhận sáp nhập thực hiện theo quy định tại Điều 25, 26 của Luật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22" w:name="dieu_15"/>
      <w:r w:rsidRPr="004B3278">
        <w:rPr>
          <w:rFonts w:eastAsia="Times New Roman" w:cs="Times New Roman"/>
          <w:b/>
          <w:bCs/>
          <w:szCs w:val="24"/>
          <w:lang w:val="en-US" w:eastAsia="vi-VN"/>
        </w:rPr>
        <w:t>Điều 15. Chuyển nhượng Văn phòng công chứng</w:t>
      </w:r>
      <w:bookmarkEnd w:id="22"/>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Văn phòng công chứng có nhu cầu chuyển nhượng theo quy định tại Điều 29 của Luật Công chứng nộp 01 (một) bộ hồ sơ chuyển nhượng tại Sở Tư pháp nơi đăng ký hoạt động. Hồ sơ bao gồm: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a) Hợp đồng</w:t>
      </w:r>
      <w:r w:rsidRPr="004B3278">
        <w:rPr>
          <w:rFonts w:eastAsia="Times New Roman" w:cs="Times New Roman"/>
          <w:szCs w:val="24"/>
          <w:lang w:val="en-US" w:eastAsia="vi-VN"/>
        </w:rPr>
        <w:t xml:space="preserve"> chuyển nhượng Văn phòng công chứng, trong đó có nội dung chủ yếu sau: Tên, địa chỉ trụ sở, danh sách công chứng viên hợp danh của Văn phòng công chứng được chuyển nhượng; tên, số Quyết định bổ nhiệm công chứng viên của các công chứng viên nhận chuyển nhượng; giá chuyển nhượng, việc thanh toán tiền và bàn giao Văn phòng công chứng được chuyển nhượng; quyền, nghĩa vụ của các bên và các nội dung khác có liên quan.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Hợp đồng</w:t>
      </w:r>
      <w:r w:rsidRPr="004B3278">
        <w:rPr>
          <w:rFonts w:eastAsia="Times New Roman" w:cs="Times New Roman"/>
          <w:szCs w:val="24"/>
          <w:lang w:val="en-US" w:eastAsia="vi-VN"/>
        </w:rPr>
        <w:t xml:space="preserve"> chuyển nhượng Văn phòng công chứng phải có chữ ký của công chứng viên hợp danh đại diện cho các công chứng viên hợp danh của Văn phòng công chứng được chuyển nhượng, các công chứng viên nhận chuyển nhượng và phải được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b) Văn bản cam kết của các công chứng viên nhận chuyển nhượng về việc kế thừa toàn bộ quyền, nghĩa vụ, tiếp nhận toàn bộ yêu cầu công chứng đang thực hiện và hồ sơ đang được lưu trữ tại Văn phòng công chứng được chuyển nhượng;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 Biên bản kiểm kê hồ sơ công chứng của Văn phòng công chứng được chuyển nhượng;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d) Bản sao Quyết định bổ nhiệm công chứng viên của các công chứng viên nhận chuyển nhượng; giấy tờ chứng minh đã hành nghề công chứng từ 02 năm trở lên đối với công chứng viên nhận chuyển nhượng dự kiến là Trưởng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đ) Quyết định cho phép thành lập và giấy đăng ký hoạt động của Văn phòng công chứng được chuyển nhượng;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e) Kê khai thuế, báo cáo tài chính trong 03 (ba) năm gần nhất đã được kiểm toán của Văn phòng công chứng được chuyển nhượng.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Trong thời hạn 20 ngày, kể từ ngày nhận đủ hồ sơ hợp lệ theo quy định tại Khoản 1 Điều này, Sở Tư pháp lấy ý kiến của tổ chức xã hội - nghề nghiệp của công chứng viên (ở những nơi đã thành lập), trình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cho phép chuyển nhượng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Trong thời hạn 15 ngày, kể từ ngày nhận được văn bản đề nghị của Sở Tư pháp,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cho phép chuyển nhượng Văn phòng công chứng;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từ chối phải thông báo bằng văn bản và nêu rõ lý do.</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Các công chứng viên nhận chuyển nhượng đề nghị thay đổi nội dung đăng ký hoạt động của Văn phòng công chứng được chuyển nhượng theo quy định tại Điều 24 của Luật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Hồ sơ đề nghị thay đổi nội dung đăng ký hoạt động bao gồm: Đơn đề nghị, Quyết định cho phép chuyển nhượng Văn phòng công chứng, giấy tờ chứng minh về trụ sở của Văn phòng công chứng được chuyển nhượng và giấy đăng ký hành nghề của các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Trong thời gian làm thủ tục chuyển nhượng, Văn phòng công chứng được chuyển nhượng tiếp tục được hoạt động cho đến khi Văn phòng công chứng của các công chứng viên nhận chuyển nhượng được cấp lại giấy đăng ký hoạt động.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5. Việc cung cấp thông tin, đăng báo nội dung đăng ký hoạt động của Văn phòng công chứng sau khi được chuyển nhượng thực hiện theo quy định tại Điều 25, 26 của Luật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23" w:name="muc_3"/>
      <w:r w:rsidRPr="004B3278">
        <w:rPr>
          <w:rFonts w:eastAsia="Times New Roman" w:cs="Times New Roman"/>
          <w:b/>
          <w:bCs/>
          <w:szCs w:val="24"/>
          <w:lang w:val="en-US" w:eastAsia="vi-VN"/>
        </w:rPr>
        <w:t>Mục 3.</w:t>
      </w:r>
      <w:r w:rsidRPr="004B3278">
        <w:rPr>
          <w:rFonts w:eastAsia="Times New Roman" w:cs="Times New Roman"/>
          <w:szCs w:val="24"/>
          <w:lang w:val="en-US" w:eastAsia="vi-VN"/>
        </w:rPr>
        <w:t xml:space="preserve"> </w:t>
      </w:r>
      <w:r w:rsidRPr="004B3278">
        <w:rPr>
          <w:rFonts w:eastAsia="Times New Roman" w:cs="Times New Roman"/>
          <w:b/>
          <w:bCs/>
          <w:szCs w:val="24"/>
          <w:lang w:val="en-US" w:eastAsia="vi-VN"/>
        </w:rPr>
        <w:t>MỘT SỐ QUY ĐỊNH VỀ CHÍNH SÁCH ƯU ĐÃI ĐỐI VỚI VĂN PHÒNG CÔNG CHỨNG THÀNH LẬP TẠI CÁC ĐỊA BÀN CÓ ĐIỀU KIỆN KINH TẾ - XÃ HỘI KHÓ KHĂN, ĐẶC BIỆT KHÓ KHĂN, ĐIỀU KIỆN VỀ TRỤ SỞ CỦA VĂN PHÒNG CÔNG CHỨNG, NIÊM YẾT VIỆC THỤ LÝ CÔNG CHỨNG VĂN BẢN THỎA THUẬN PHÂN CHIA DI SẢN, VĂN BẢN KHAI NHẬN DI SẢN</w:t>
      </w:r>
      <w:bookmarkEnd w:id="23"/>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24" w:name="dieu_16"/>
      <w:r w:rsidRPr="004B3278">
        <w:rPr>
          <w:rFonts w:eastAsia="Times New Roman" w:cs="Times New Roman"/>
          <w:b/>
          <w:bCs/>
          <w:szCs w:val="24"/>
          <w:lang w:val="en-US" w:eastAsia="vi-VN"/>
        </w:rPr>
        <w:t xml:space="preserve">Điều 16. Chính sách ưu đãi đối với Văn phòng công chứng thành lập tại các địa bàn có điều kiện </w:t>
      </w:r>
      <w:r w:rsidRPr="004B3278">
        <w:rPr>
          <w:rFonts w:eastAsia="Times New Roman" w:cs="Times New Roman"/>
          <w:b/>
          <w:bCs/>
          <w:szCs w:val="24"/>
          <w:shd w:val="solid" w:color="FFFFFF" w:fill="auto"/>
          <w:lang w:val="en-US" w:eastAsia="vi-VN"/>
        </w:rPr>
        <w:t>kinh</w:t>
      </w:r>
      <w:r w:rsidRPr="004B3278">
        <w:rPr>
          <w:rFonts w:eastAsia="Times New Roman" w:cs="Times New Roman"/>
          <w:b/>
          <w:bCs/>
          <w:szCs w:val="24"/>
          <w:lang w:val="en-US" w:eastAsia="vi-VN"/>
        </w:rPr>
        <w:t xml:space="preserve"> tế - xã hội khó khăn, đặc biệt khó khăn</w:t>
      </w:r>
      <w:bookmarkEnd w:id="24"/>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Văn phòng công chứng thành lập tại các địa bàn có điều kiện kinh tế - xã hội khó khăn, đặc biệt khó khăn được hưởng chính sách ưu đãi sau đây: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a) Được hưởng các ưu đãi về thuế theo quy định của pháp luật về thuế thu nhập doanh nghiệp;</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b) Được thuê trụ sở với giá ưu đãi, được cho mượn trụ sở, hỗ trợ về trang thiết bị, phương tiện làm việc trong 03 (ba) năm đầu hoạt động.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 xml:space="preserve">2.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xem xét, quyết định cụ thể các biện pháp hỗ trợ quy định tại Điểm b Khoản 1 Điều này và các biện pháp hỗ trợ khác đối với Văn phòng công chứng thành lập tại các địa bàn có điều kiện kinh tế - xã hội khó khăn, đặc biệt khó khăn.</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25" w:name="dieu_17"/>
      <w:r w:rsidRPr="004B3278">
        <w:rPr>
          <w:rFonts w:eastAsia="Times New Roman" w:cs="Times New Roman"/>
          <w:b/>
          <w:bCs/>
          <w:szCs w:val="24"/>
          <w:lang w:val="en-US" w:eastAsia="vi-VN"/>
        </w:rPr>
        <w:t>Điều 17. Điều kiện về trụ sở của Văn phòng công chứng</w:t>
      </w:r>
      <w:bookmarkEnd w:id="25"/>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Trụ sở của Văn phòng công chứng phải có địa chỉ cụ thể, có nơi làm việc cho công chứng viên và người lao động với diện tích tối thiểu theo quy định của pháp luật về tiêu chuẩn, định mức sử dụng trụ sở làm việc tại các đơn vị sự nghiệp, có nơi tiếp người yêu cầu công chứng và nơi lưu trữ hồ sơ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Công chứng viên thành lập Văn phòng công chứng nộp các giấy tờ chứng minh về trụ sở của Văn phòng công chứng tại thời điểm đăng ký hoạt động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Sở Tư pháp có trách nhiệm kiểm tra việc đáp ứng các điều kiện về trụ sở của Văn phòng công chứng khi thực hiện đăng ký hoạt động cho Văn phòng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26" w:name="dieu_18"/>
      <w:r w:rsidRPr="004B3278">
        <w:rPr>
          <w:rFonts w:eastAsia="Times New Roman" w:cs="Times New Roman"/>
          <w:b/>
          <w:bCs/>
          <w:szCs w:val="24"/>
          <w:lang w:val="en-US" w:eastAsia="vi-VN"/>
        </w:rPr>
        <w:t>Điều 18. Niêm yết việc thụ lý công chứng văn bản thỏa thuận phân chia di sản, văn bản khai nhận di sản</w:t>
      </w:r>
      <w:bookmarkEnd w:id="26"/>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1. Việc thụ lý công chứng văn bản thỏa thuận phân chia di sản, văn bản khai nhận di sản phải được niêm yết trong thời hạn 15 ngày, kể từ ngày niêm yết. Việc niêm yết do tổ chức hành nghề công chứng thực hiện tại trụ sở của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cấp xã nơi thường trú cuối cùng của người để lại di sản;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không xác định được nơi thường trú cuối cùng thì niêm yết tại nơi tạm trú có thời hạn cuối cùng của người đó.</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di sản gồm cả bất động sản và động sản hoặc di sản chỉ gồm có bất động sản thì việc niêm yết được thực hiện theo quy định tại Khoản này và tại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xã nơi có bất động sản.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di sản chỉ gồm có động sản, nếu trụ sở của tổ chức hành nghề công chứng và nơi thường trú hoặc tạm trú có thời hạn cuối cùng của người để lại di sản không ở cùng một tỉnh, thành phố trực thuộc Trung ương thì tổ chức hành nghề công chứng có thể đề nghị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xã nơi thường trú hoặc tạm trú có thời hạn cuối cùng của người để lại di sản thực hiện việc niêm yết.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Nội dung niêm yết phải nêu rõ họ, tên của người để lại di sản; họ, tên của những người thỏa thuận phân chia hoặc khai nhận di sản thừa kế; quan hệ của những người thỏa thuận phân chia hoặc khai nhận di sản thừa kế với người để lại di sản thừa kế; danh mục di sản thừa kế. Bản niêm yết phải ghi rõ nếu có khiếu nại, tố cáo về việc bỏ sót, giấu giếm người được hưởng di sản thừa kế; bỏ sót người thừa kế; di sản thừa kế không thuộc quyền sở hữu, quyền sử dụng của người để lại di sản thì khiếu nại, tố cáo đó được gửi cho tổ chức hành nghề công chứng đã thực hiện việc niêm yết.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3.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xã nơi niêm yết có trách nhiệm xác nhận việc niêm yết và bảo quản việc niêm yết trong thời hạn niêm yết.</w:t>
      </w:r>
    </w:p>
    <w:p w:rsidR="004B3278" w:rsidRPr="004B3278" w:rsidRDefault="004B3278" w:rsidP="004B3278">
      <w:pPr>
        <w:spacing w:after="0" w:line="240" w:lineRule="auto"/>
        <w:jc w:val="center"/>
        <w:rPr>
          <w:rFonts w:eastAsia="Times New Roman" w:cs="Times New Roman"/>
          <w:szCs w:val="24"/>
          <w:lang w:val="en-US" w:eastAsia="vi-VN"/>
        </w:rPr>
      </w:pPr>
      <w:bookmarkStart w:id="27" w:name="chuong_3"/>
      <w:r w:rsidRPr="004B3278">
        <w:rPr>
          <w:rFonts w:eastAsia="Times New Roman" w:cs="Times New Roman"/>
          <w:b/>
          <w:bCs/>
          <w:szCs w:val="24"/>
          <w:lang w:val="en-US" w:eastAsia="vi-VN"/>
        </w:rPr>
        <w:t>Chương III</w:t>
      </w:r>
      <w:bookmarkEnd w:id="27"/>
    </w:p>
    <w:p w:rsidR="004B3278" w:rsidRPr="004B3278" w:rsidRDefault="004B3278" w:rsidP="004B3278">
      <w:pPr>
        <w:spacing w:after="0" w:line="240" w:lineRule="auto"/>
        <w:jc w:val="center"/>
        <w:rPr>
          <w:rFonts w:eastAsia="Times New Roman" w:cs="Times New Roman"/>
          <w:szCs w:val="24"/>
          <w:lang w:val="en-US" w:eastAsia="vi-VN"/>
        </w:rPr>
      </w:pPr>
      <w:bookmarkStart w:id="28" w:name="chuong_3_name"/>
      <w:r w:rsidRPr="004B3278">
        <w:rPr>
          <w:rFonts w:eastAsia="Times New Roman" w:cs="Times New Roman"/>
          <w:b/>
          <w:bCs/>
          <w:szCs w:val="24"/>
          <w:lang w:val="en-US" w:eastAsia="vi-VN"/>
        </w:rPr>
        <w:t>BẢO HIỂM TRÁCH NHIỆM NGHỀ NGHIỆP CỦA CÔNG CHỨNG VIÊN</w:t>
      </w:r>
      <w:bookmarkEnd w:id="28"/>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29" w:name="dieu_19"/>
      <w:r w:rsidRPr="004B3278">
        <w:rPr>
          <w:rFonts w:eastAsia="Times New Roman" w:cs="Times New Roman"/>
          <w:b/>
          <w:bCs/>
          <w:szCs w:val="24"/>
          <w:lang w:val="en-US" w:eastAsia="vi-VN"/>
        </w:rPr>
        <w:t>Điều 19. Nguyên tắc tham gia bảo hiểm</w:t>
      </w:r>
      <w:bookmarkEnd w:id="29"/>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Tổ chức hành nghề công chứng trực tiếp mua hoặc có thể ủy quyền cho tổ chức xã hội - nghề nghiệp của công chứng viên mua bảo hiểm trách nhiệm nghề nghiệp cho công chứng viên của tổ chức mình.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 xml:space="preserve">2. Thời điểm mua bảo hiểm trách nhiệm nghề nghiệp của công chứng viên được thực hiện chậm nhất là 60 ngày, kể từ ngày công chứng viên của tổ chức hành nghề công chứng được </w:t>
      </w:r>
      <w:r w:rsidRPr="004B3278">
        <w:rPr>
          <w:rFonts w:eastAsia="Times New Roman" w:cs="Times New Roman"/>
          <w:szCs w:val="24"/>
          <w:shd w:val="solid" w:color="FFFFFF" w:fill="auto"/>
          <w:lang w:val="en-US" w:eastAsia="vi-VN"/>
        </w:rPr>
        <w:t>đăng ký</w:t>
      </w:r>
      <w:r w:rsidRPr="004B3278">
        <w:rPr>
          <w:rFonts w:eastAsia="Times New Roman" w:cs="Times New Roman"/>
          <w:szCs w:val="24"/>
          <w:lang w:val="en-US" w:eastAsia="vi-VN"/>
        </w:rPr>
        <w:t xml:space="preserve"> hành nghề.</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Kinh phí mua bảo hiểm trách nhiệm nghề nghiệp cho công chứng viên của Phòng công chứng được trích từ quỹ phát triển sự nghiệp hoặc từ nguồn kinh phí hợp pháp khác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30" w:name="dieu_20"/>
      <w:r w:rsidRPr="004B3278">
        <w:rPr>
          <w:rFonts w:eastAsia="Times New Roman" w:cs="Times New Roman"/>
          <w:b/>
          <w:bCs/>
          <w:szCs w:val="24"/>
          <w:lang w:val="en-US" w:eastAsia="vi-VN"/>
        </w:rPr>
        <w:t>Điều 20. Phạm vi bảo hiểm</w:t>
      </w:r>
      <w:bookmarkEnd w:id="30"/>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Phạm vi bảo hiểm bao gồm thiệt hại về vật chất của người tham gia ký kết hợp đồng, giao dịch hoặc của cá nhân, tổ chức khác có liên quan trực tiếp đến hợp đồng, giao dịch đã được công chứng mà những thiệt hại gây ra do lỗi của công chứng viên trong thời hạn bảo hiểm.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Tổ chức hành nghề công chứng hoặc tổ chức xã hội - nghề nghiệp của công chứng viên trong trường hợp được tổ chức hành nghề công chứng ủy quyền có thể thỏa thuận với doanh nghiệp bảo hiểm về phạm vi bảo hiểm rộng hơn phạm vi bảo hiểm quy định tại Khoản 1 Điều này.</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31" w:name="dieu_21"/>
      <w:r w:rsidRPr="004B3278">
        <w:rPr>
          <w:rFonts w:eastAsia="Times New Roman" w:cs="Times New Roman"/>
          <w:b/>
          <w:bCs/>
          <w:szCs w:val="24"/>
          <w:lang w:val="en-US" w:eastAsia="vi-VN"/>
        </w:rPr>
        <w:t>Điều 21. Điều kiện bảo hiểm</w:t>
      </w:r>
      <w:bookmarkEnd w:id="31"/>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Doanh nghiệp bảo hiểm chi trả bảo hiểm và bồi thường thiệt hại khi có đủ các điều kiện sau:</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Thiệt hại thuộc phạm vi bảo hiểm quy định tại Điều 20 của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Không thuộc các trường hợp sau đây: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a) Công chứng viên thực hiện công chứng trong trường hợp mục đích và nội dung của hợp đồng, giao dịch, nội dung bản dịch vi phạm pháp luật, trái đạo đức xã hội; xúi giục, tạo điều kiện cho người tham gia hợp đồng, giao dịch thực hiện giao dịch giả tạo hoặc hành vi gian dối khác;</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b) Công chứng viên công chứng hợp đồng, giao dịch, bản dịch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 Công chứng viên cấu kết, thông đồng với người yêu cầu công chứng và những người có liên quan làm sai lệch nội dung của văn bản công chứng, hồ sơ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shd w:val="solid" w:color="FFFFFF" w:fill="auto"/>
          <w:lang w:val="en-US" w:eastAsia="vi-VN"/>
        </w:rPr>
        <w:t>d) Trường hợp</w:t>
      </w:r>
      <w:r w:rsidRPr="004B3278">
        <w:rPr>
          <w:rFonts w:eastAsia="Times New Roman" w:cs="Times New Roman"/>
          <w:szCs w:val="24"/>
          <w:lang w:val="en-US" w:eastAsia="vi-VN"/>
        </w:rPr>
        <w:t xml:space="preserve"> khác theo thỏa thuận giữa doanh nghiệp bảo hiểm và tổ chức hành nghề công chứng hoặc tổ chức xã hội - nghề nghiệp của công chứng viên trong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được tổ chức hành nghề công chứng ủy quyền.</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32" w:name="dieu_22"/>
      <w:r w:rsidRPr="004B3278">
        <w:rPr>
          <w:rFonts w:eastAsia="Times New Roman" w:cs="Times New Roman"/>
          <w:b/>
          <w:bCs/>
          <w:szCs w:val="24"/>
          <w:lang w:val="en-US" w:eastAsia="vi-VN"/>
        </w:rPr>
        <w:t>Điều 22. Phí bảo hiểm</w:t>
      </w:r>
      <w:bookmarkEnd w:id="32"/>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Phí bảo hiểm là khoản tiền mà tổ chức hành nghề công chứng phải đóng cho doanh nghiệp bảo hiểm khi mua bảo hiểm trách nhiệm nghề nghiệp cho công chứng viên thuộc tổ chức mình.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Doanh nghiệp bảo hiểm và tổ chức hành nghề công chứng hoặc tổ chức xã hội - nghề nghiệp của công chứng viên trong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được tổ chức hành nghề công chứng ủy quyền thỏa thuận mức phí bảo hiểm, nhưng không được thấp hơn 03 (ba) triệu đồng một năm cho một công chứng viên.</w:t>
      </w:r>
    </w:p>
    <w:p w:rsidR="004B3278" w:rsidRPr="004B3278" w:rsidRDefault="004B3278" w:rsidP="004B3278">
      <w:pPr>
        <w:spacing w:after="0" w:line="240" w:lineRule="auto"/>
        <w:jc w:val="center"/>
        <w:rPr>
          <w:rFonts w:eastAsia="Times New Roman" w:cs="Times New Roman"/>
          <w:szCs w:val="24"/>
          <w:lang w:val="en-US" w:eastAsia="vi-VN"/>
        </w:rPr>
      </w:pPr>
      <w:bookmarkStart w:id="33" w:name="chuong_4"/>
      <w:r w:rsidRPr="004B3278">
        <w:rPr>
          <w:rFonts w:eastAsia="Times New Roman" w:cs="Times New Roman"/>
          <w:b/>
          <w:bCs/>
          <w:szCs w:val="24"/>
          <w:lang w:val="en-US" w:eastAsia="vi-VN"/>
        </w:rPr>
        <w:t>Chương IV</w:t>
      </w:r>
      <w:bookmarkEnd w:id="33"/>
    </w:p>
    <w:p w:rsidR="004B3278" w:rsidRPr="004B3278" w:rsidRDefault="004B3278" w:rsidP="004B3278">
      <w:pPr>
        <w:spacing w:after="0" w:line="240" w:lineRule="auto"/>
        <w:jc w:val="center"/>
        <w:rPr>
          <w:rFonts w:eastAsia="Times New Roman" w:cs="Times New Roman"/>
          <w:szCs w:val="24"/>
          <w:lang w:val="en-US" w:eastAsia="vi-VN"/>
        </w:rPr>
      </w:pPr>
      <w:bookmarkStart w:id="34" w:name="chuong_4_name"/>
      <w:r w:rsidRPr="004B3278">
        <w:rPr>
          <w:rFonts w:eastAsia="Times New Roman" w:cs="Times New Roman"/>
          <w:b/>
          <w:bCs/>
          <w:szCs w:val="24"/>
          <w:lang w:val="en-US" w:eastAsia="vi-VN"/>
        </w:rPr>
        <w:t>TỔ CHỨC XÃ HỘI - NGHỀ NGHIỆP CỦA CÔNG CHỨNG VIÊN</w:t>
      </w:r>
      <w:bookmarkEnd w:id="34"/>
    </w:p>
    <w:p w:rsidR="004B3278" w:rsidRPr="004B3278" w:rsidRDefault="004B3278" w:rsidP="004B3278">
      <w:pPr>
        <w:spacing w:after="0" w:line="240" w:lineRule="auto"/>
        <w:rPr>
          <w:rFonts w:eastAsia="Times New Roman" w:cs="Times New Roman"/>
          <w:b/>
          <w:bCs/>
          <w:szCs w:val="24"/>
          <w:lang w:val="en-US" w:eastAsia="vi-VN"/>
        </w:rPr>
      </w:pPr>
      <w:bookmarkStart w:id="35" w:name="muc_1_1"/>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b/>
          <w:bCs/>
          <w:szCs w:val="24"/>
          <w:lang w:val="en-US" w:eastAsia="vi-VN"/>
        </w:rPr>
        <w:t>Mục 1. TỔ CHỨC XÃ HỘI - NGHỀ NGHIỆP CẤP TỈNH CỦA CÔNG CHỨNG VIÊN</w:t>
      </w:r>
      <w:bookmarkEnd w:id="35"/>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36" w:name="dieu_23"/>
      <w:r w:rsidRPr="004B3278">
        <w:rPr>
          <w:rFonts w:eastAsia="Times New Roman" w:cs="Times New Roman"/>
          <w:b/>
          <w:bCs/>
          <w:szCs w:val="24"/>
          <w:lang w:val="en-US" w:eastAsia="vi-VN"/>
        </w:rPr>
        <w:t>Điều 23. Hội công chứng viên</w:t>
      </w:r>
      <w:bookmarkEnd w:id="36"/>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Ở mỗi tỉnh, thành phố trực thuộc Trung ương được thành lập một Hội công chứng viên là tổ chức xã hội - nghề nghiệp cấp tỉnh của các công chứng viên hành nghề trên địa bàn theo quy định tại Khoản 1 Điều 39 của Luật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Hội công chứng viên được tổ chức và hoạt động theo nguyên tắc tự quản, công khai, minh bạch, phi lợi nhuận, tự chịu trách nhiệm về kinh phí hoạt động </w:t>
      </w:r>
      <w:r w:rsidRPr="004B3278">
        <w:rPr>
          <w:rFonts w:eastAsia="Times New Roman" w:cs="Times New Roman"/>
          <w:szCs w:val="24"/>
          <w:shd w:val="solid" w:color="FFFFFF" w:fill="auto"/>
          <w:lang w:val="en-US" w:eastAsia="vi-VN"/>
        </w:rPr>
        <w:t>phù hợp</w:t>
      </w:r>
      <w:r w:rsidRPr="004B3278">
        <w:rPr>
          <w:rFonts w:eastAsia="Times New Roman" w:cs="Times New Roman"/>
          <w:szCs w:val="24"/>
          <w:lang w:val="en-US" w:eastAsia="vi-VN"/>
        </w:rPr>
        <w:t xml:space="preserve"> với quy định của Luật Công chứng, Nghị định này và Điều lệ Tổ chức xã hội - nghề nghiệp toàn quốc của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Hội công chứng viên có tư cách pháp nhân, có con dấu và tài khoản riêng.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Tổ chức và hoạt động của Hội công chứng viên chịu sự quản lý nhà nước của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và hướng dẫn của Tổ chức xã hội - nghề nghiệp toàn quốc của công chứng viên. Hội công chứng viên không được ban hành nghị quyết, quyết định, nội quy, quy định về phí, khoản thu và các quy định khác trái với quy định của pháp luật và Điều lệ Tổ chức xã hội - nghề nghiệp toàn quốc của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Sở Tư pháp chủ trì, phối hợp với Sở Nội vụ giúp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thực hiện quản lý nhà nước về tổ chức và hoạt động của Hội công chứng viên tại địa phương.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Hội viên của Hội công chứng viên là các công chứng viên hành nghề trên địa bàn. Các công chứng viên phải tham gia Hội công chứng viên trước khi đăng ký hành nghề công chứng ở những nơi đã có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Quyền và nghĩa vụ của hội viên Hội công chứng viên do Điều lệ Tổ chức xã hội - nghề nghiệp toàn quốc của công chứng viên quy định.</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37" w:name="dieu_24"/>
      <w:r w:rsidRPr="004B3278">
        <w:rPr>
          <w:rFonts w:eastAsia="Times New Roman" w:cs="Times New Roman"/>
          <w:b/>
          <w:bCs/>
          <w:szCs w:val="24"/>
          <w:lang w:val="en-US" w:eastAsia="vi-VN"/>
        </w:rPr>
        <w:t>Điều 24. Thành lập Hội công chứng viên</w:t>
      </w:r>
      <w:bookmarkEnd w:id="37"/>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1. Sở Tư pháp chủ trì, phối hợp với Sở Nội vụ hướng dẫn các công chứng viên tại địa phương thành lập Ban vận động thành lập Hội công chứng viên. Ban vận động gồm 03 đến 05 công chứng viên, có nhiệm vụ xây dựng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thành lập Hội công chứng viên. Đề án nêu rõ về sự cần thiết thành lập, số lượng công chứng viên hành nghề tại địa phương, dự kiến về tổ chức, nhân sự và hoạt động của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2. Trong thời hạn 30 ngày, kể từ ngày nhận được Đề án thành lập Hội công chứng viên, Sở Tư pháp chủ trì, phối hợp với Sở Nội vụ thẩm định Đề án, trình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hồ sơ đề nghị thành lập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Hồ sơ đề nghị thành lập Hội công chứng viên bao gồm Đề án thành lập Hội công chứng viên, Tờ trình Đề án và Báo cáo thẩm định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3. Trong thời hạn 15 ngày, kể từ ngày nhận đủ hồ sơ hợp lệ,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ra Quyết định cho phép thành lập Hội công chứng viên;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từ chối thì phải thông báo bằng văn bản và nêu rõ lý do.</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Trong thời hạn 06 tháng, kể từ ngày có Quyết định cho phép thành lập, Ban vận động thành lập Hội công chứng viên phải tiến hành Đại hội.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không tiến hành Đại hội trong thời hạn quy định tại Khoản này thì Quyết định cho phép thành lập Hội công chứng viên hết hiệu lực thi hành.</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38" w:name="dieu_25"/>
      <w:r w:rsidRPr="004B3278">
        <w:rPr>
          <w:rFonts w:eastAsia="Times New Roman" w:cs="Times New Roman"/>
          <w:b/>
          <w:bCs/>
          <w:szCs w:val="24"/>
          <w:lang w:val="en-US" w:eastAsia="vi-VN"/>
        </w:rPr>
        <w:t>Điều 25. Các cơ quan của Hội công chứng viên</w:t>
      </w:r>
      <w:bookmarkEnd w:id="38"/>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1. Đại hội toàn thể công chứng viên là cơ quan lãnh đạo cao nhất của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Ban chấp hành Hội công chứng viên là cơ quan chấp hành của Đại hội toàn thể công chứng viên, do Đại hội toàn thể công chứng viên bầu ra.</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Hội đồng khen thưởng, kỷ luật của Hội công chứng viên do Đại hội toàn thể công chứng viên bầu ra theo nhiệm kỳ của Ban chấp hành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Các cơ quan khác theo quy định của Điều lệ Tổ chức xã hội - nghề nghiệp toàn quốc của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39" w:name="dieu_26"/>
      <w:r w:rsidRPr="004B3278">
        <w:rPr>
          <w:rFonts w:eastAsia="Times New Roman" w:cs="Times New Roman"/>
          <w:b/>
          <w:bCs/>
          <w:szCs w:val="24"/>
          <w:lang w:val="en-US" w:eastAsia="vi-VN"/>
        </w:rPr>
        <w:t>Điều 26. Nhiệm vụ và quyền hạn của Hội công chứng viên</w:t>
      </w:r>
      <w:bookmarkEnd w:id="39"/>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Đại diện và bảo vệ quyền, lợi ích hợp pháp của hội viên trong hành nghề theo quy định của Điều lệ Tổ chức xã hội - nghề nghiệp toàn quốc của công chứng viên và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Kết nạp, khai trừ hội viên; khen thưởng, xử lý kỷ luật hội viên; giải quyết khiếu nại, tố cáo theo quy định của Điều lệ Tổ chức xã hội - nghề nghiệp toàn quốc của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3. Giám sát hội viên trong việc tuân thủ quy định của pháp luật về công chứng, Quy tắc đạo đức hành nghề công chứng và Điều lệ </w:t>
      </w:r>
      <w:r w:rsidRPr="004B3278">
        <w:rPr>
          <w:rFonts w:eastAsia="Times New Roman" w:cs="Times New Roman"/>
          <w:szCs w:val="24"/>
          <w:shd w:val="solid" w:color="FFFFFF" w:fill="auto"/>
          <w:lang w:val="en-US" w:eastAsia="vi-VN"/>
        </w:rPr>
        <w:t>Tổ chức</w:t>
      </w:r>
      <w:r w:rsidRPr="004B3278">
        <w:rPr>
          <w:rFonts w:eastAsia="Times New Roman" w:cs="Times New Roman"/>
          <w:szCs w:val="24"/>
          <w:lang w:val="en-US" w:eastAsia="vi-VN"/>
        </w:rPr>
        <w:t xml:space="preserve"> xã hội - nghề nghiệp toàn quốc của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Phối hợp với Sở Tư pháp địa phương trong việc bồi dưỡng nghiệp vụ công chứng hàng năm cho hội viên; tham gia ý kiến với Sở Tư pháp trong việc bổ nhiệm, miễn nhiệm công chứng viên, thành lập, hợp nhất, sáp nhập, chuyển nhượng, chấm dứt hoạt động của tổ chức hành nghề công chứng theo quy định của Luật Công chứng, Nghị định này và các văn bản quy phạm pháp luật có liên quan.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5. Thực hiện nghị quyết, quyết định, quy định của Tổ chức xã hội - nghề nghiệp toàn quốc của công chứng viên và các cơ quan quản lý nhà nước có thẩm quyền.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6. Chấp hành sự kiểm tra, thanh tra của các cơ quan quản lý nhà nước, sự kiểm tra của Tổ chức xã hội - nghề nghiệp toàn quốc của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7. Tham gia hoạt động hợp tác về công chứng ở trong nước và quốc tế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8. Các nhiệm vụ, quyền hạn khác theo quy định của pháp luật và Điều lệ Tổ chức xã hội - nghề nghiệp toàn quốc của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40" w:name="muc_2_1"/>
      <w:r w:rsidRPr="004B3278">
        <w:rPr>
          <w:rFonts w:eastAsia="Times New Roman" w:cs="Times New Roman"/>
          <w:b/>
          <w:bCs/>
          <w:szCs w:val="24"/>
          <w:lang w:val="en-US" w:eastAsia="vi-VN"/>
        </w:rPr>
        <w:t>Mục 2. TỔ CHỨC XÃ HỘI - NGHỀ NGHIỆP TOÀN QUỐC CỦA CÔNG CHỨNG VIÊN</w:t>
      </w:r>
      <w:bookmarkEnd w:id="40"/>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41" w:name="dieu_27"/>
      <w:r w:rsidRPr="004B3278">
        <w:rPr>
          <w:rFonts w:eastAsia="Times New Roman" w:cs="Times New Roman"/>
          <w:b/>
          <w:bCs/>
          <w:szCs w:val="24"/>
          <w:lang w:val="en-US" w:eastAsia="vi-VN"/>
        </w:rPr>
        <w:t>Điều 27. Hiệp hội công chứng viên Việt Nam</w:t>
      </w:r>
      <w:bookmarkEnd w:id="41"/>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Hiệp hội công chứng viên Việt Nam là Tổ chức xã hội - nghề nghiệp toàn quốc của các công chứng viên Việt Nam theo quy định tại Khoản 1 Điều 39 của Luật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Hiệp hội công chứng viên Việt Nam được tổ chức và hoạt động theo nguyên tắc tự quản, công khai, minh bạch, phi lợi nhuận, tự chịu trách nhiệm về kinh phí hoạt động phù hợp với quy định của Luật Công chứng và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Hiệp hội công chứng viên Việt Nam có tư cách pháp nhân, có con dấu và tài khoản riêng.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2. Hoạt động của Hiệp hội công chứng viên Việt Nam chịu sự quản lý nhà nước của Bộ Tư pháp, Bộ Nội vụ và các cơ quan quản lý nhà nước có thẩm quyền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Hội viên của Hiệp hội công chứng viên Việt Nam là các Hội công chứng viên của các tỉnh, thành phố trực thuộc Trung ương và các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Quyền và nghĩa vụ của hội viên Hiệp hội công chứng viên Việt Nam do Điều lệ Hiệp hội công chứng viên Việt Nam quy định.</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42" w:name="dieu_28"/>
      <w:r w:rsidRPr="004B3278">
        <w:rPr>
          <w:rFonts w:eastAsia="Times New Roman" w:cs="Times New Roman"/>
          <w:b/>
          <w:bCs/>
          <w:szCs w:val="24"/>
          <w:lang w:val="en-US" w:eastAsia="vi-VN"/>
        </w:rPr>
        <w:t>Điều 28. Thành lập Hiệp hội công chứng viên Việt Nam</w:t>
      </w:r>
      <w:bookmarkEnd w:id="42"/>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Bộ Tư pháp chủ trì, phối hợp với Bộ Nội vụ và các Bộ, ngành liên quan xây dựng, trình Thủ tướng Chính phủ phê duyệt Đề án thành lập Hiệp hội công chứng viên Việt Nam và tổ chức thực hiện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sau khi được Thủ tướng Chính phủ phê duyệt.</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43" w:name="dieu_29"/>
      <w:r w:rsidRPr="004B3278">
        <w:rPr>
          <w:rFonts w:eastAsia="Times New Roman" w:cs="Times New Roman"/>
          <w:b/>
          <w:bCs/>
          <w:szCs w:val="24"/>
          <w:lang w:val="en-US" w:eastAsia="vi-VN"/>
        </w:rPr>
        <w:t>Điều 29. Các cơ quan của Hiệp hội công chứng viên Việt Nam</w:t>
      </w:r>
      <w:bookmarkEnd w:id="43"/>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Đại hội đại biểu công chứng viên toàn quốc là cơ quan lãnh đạo cao nhất của Hiệp hội công chứng viên Việt Nam.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Hội đồng công chứng viên toàn quốc là cơ quan lãnh đạo của Hiệp hội công chứng viên Việt Nam giữa hai kỳ Đại hội đại biểu công chứng viên toàn quốc.</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Ban Thường vụ Hiệp hội công chứng viên Việt Nam là cơ quan điều hành công việc của Hiệp hội công chứng viên Việt Nam giữa hai kỳ họp của Hội đồng công chứng viên toàn quốc.</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Các cơ quan khác do Điều lệ Hiệp hội công chứng viên Việt Nam quy định.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5. Nhiệm vụ, quyền hạn cụ thể của các cơ quan quy định tại Khoản 1, 2, 3 và Khoản 4 Điều này do Điều lệ Hiệp hội công chứng viên Việt Nam quy định.</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44" w:name="dieu_30"/>
      <w:r w:rsidRPr="004B3278">
        <w:rPr>
          <w:rFonts w:eastAsia="Times New Roman" w:cs="Times New Roman"/>
          <w:b/>
          <w:bCs/>
          <w:szCs w:val="24"/>
          <w:lang w:val="en-US" w:eastAsia="vi-VN"/>
        </w:rPr>
        <w:t>Điều 30. Nhiệm vụ và quyền hạn của Hiệp hội công chứng viên Việt Nam</w:t>
      </w:r>
      <w:bookmarkEnd w:id="44"/>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Đại diện, bảo vệ quyền, lợi ích hợp pháp của hội viên theo quy định của Điều lệ Hiệp hội công chứng viên Việt Nam và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Kết nạp, khai trừ hội viên; khen thưởng, kỷ luật hội viên; giải quyết khiếu nại, tố cáo theo quy định của Điều lệ Hiệp hội công chứng viên Việt Nam.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Ban hành Quy tắc đạo đức hành nghề công chứng; giám sát hội viên trong việc tuân thủ Quy tắc đạo đức hành nghề công chứng và quy định của pháp luật về công chứng.</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Phối hợp với Bộ Tư pháp trong việc tổ chức đào tạo, bồi dưỡng, tập sự hành nghề công chứng theo quy định của pháp luật; tham gia xây dựng, tuyên truyền, phổ biến, giáo dục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5. Thành lập Quỹ bồi thường thiệt hại trong phạm vi tổ chức mình để hỗ trợ việc bồi thường thiệt hại do lỗi của hội viên khi hành nghề công chứng trong trường hợp bảo hiểm trách nhiệm nghề nghiệp của hội viên không đủ bồi thường; quản lý Quỹ bồi thường thiệt hại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6. Thực hiện các hoạt động hợp tác quốc tế về công chứng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7. Kiểm tra việc thực hiện Điều lệ Hiệp hội công chứng viên Việt Nam; đình chỉ thi hành và yêu cầu sửa đổi, hủy bỏ nghị quyết, quyết định, quy định của Hội công chứng viên trái với Điều lệ Hiệp hội công chứng viên Việt Nam; kiến nghị cơ quan nhà nước có thẩm quyền đình chỉ thi hành và yêu cầu sửa đổi, hủy bỏ nghị quyết, quyết định, quy định của Hội công chứng viên trái với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 xml:space="preserve">8. Báo cáo Bộ Tư pháp về </w:t>
      </w:r>
      <w:r w:rsidRPr="004B3278">
        <w:rPr>
          <w:rFonts w:eastAsia="Times New Roman" w:cs="Times New Roman"/>
          <w:szCs w:val="24"/>
          <w:shd w:val="solid" w:color="FFFFFF" w:fill="auto"/>
          <w:lang w:val="en-US" w:eastAsia="vi-VN"/>
        </w:rPr>
        <w:t>Đề án</w:t>
      </w:r>
      <w:r w:rsidRPr="004B3278">
        <w:rPr>
          <w:rFonts w:eastAsia="Times New Roman" w:cs="Times New Roman"/>
          <w:szCs w:val="24"/>
          <w:lang w:val="en-US" w:eastAsia="vi-VN"/>
        </w:rPr>
        <w:t xml:space="preserve"> tổ chức Đại hội nhiệm kỳ, phương án nhân sự, kết quả Đại hội; thực hiện chế độ báo cáo định kỳ hoặc báo cáo khác theo yêu cầu của Bộ Tư pháp.</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9. Các nhiệm vụ, quyền hạn khác theo quy định của pháp luật và Điều lệ Hiệp hội công chứng viên Việt Nam.</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45" w:name="dieu_31"/>
      <w:r w:rsidRPr="004B3278">
        <w:rPr>
          <w:rFonts w:eastAsia="Times New Roman" w:cs="Times New Roman"/>
          <w:b/>
          <w:bCs/>
          <w:szCs w:val="24"/>
          <w:lang w:val="en-US" w:eastAsia="vi-VN"/>
        </w:rPr>
        <w:t>Điều 31. Điều lệ Hiệp hội công chứng viên Việt Nam</w:t>
      </w:r>
      <w:bookmarkEnd w:id="45"/>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Căn cứ quy định của Luật Công chứng và Nghị định này, Đại hội đại biểu công chứng viên toàn quốc thông qua Điều lệ Hiệp hội công chứng viên Việt Nam.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Điều lệ Hiệp hội công chứng viên Việt Nam được áp dụng thống nhất đối với Hiệp hội công chứng viên Việt Nam và các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Điều lệ của Hiệp hội công chứng viên Việt Nam bao gồm những nội dung chủ yếu sau đây: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a) Tôn chỉ, mục đích và biểu tượng của Hiệp hội công chứng viên Việt Nam;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b) Quyền, nghĩa vụ của hội viên Hiệp hội công chứng viên Việt Nam;</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c) Mối quan hệ giữa Hiệp hội công chứng viên Việt Nam và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d) Thủ tục gia nhập, rút tên khỏi danh sách hội viên của Hội công chứng viên, khai trừ tư cách hội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đ) Nhiệm kỳ, cơ cấu tổ chức, thể thức bầu, miễn nhiệm, bãi nhiệm, nhiệm vụ, quyền hạn của các cơ quan của Hiệp hội công chứng viên Việt Nam,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e) Mối quan hệ phối hợp giữa các Hội công chứng viên trong việc thực hiện các nhiệm vụ, quyền hạn theo quy định;</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g) Cơ cấu, nhiệm vụ, quyền hạn của Đại hội đại biểu công chứng viên toàn quốc, Đại hội toàn thể công chứng viên của Hội công chứng viên; trình tự, thủ tục tiến hành Đại hội của Hiệp hội công chứng viên Việt Nam,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h) Việc ban hành nội quy của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i) Tài chính của Hiệp hội công chứng viên Việt Nam,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k) Khen thưởng, kỷ luật hội viên và giải quyết khiếu nại, tố cáo;</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l) Nghĩa vụ báo cáo của Hiệp hội công chứng viên Việt Nam, Hội công chứng viên;</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m) Quan hệ với cơ quan, tổ chức khác.</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Trong thời hạn 07 (bảy) ngày làm việc, kể từ ngày được thông qua, Hội đồng công chứng viên toàn quốc gửi Bộ Tư pháp Điều lệ Hiệp hội công chứng viên Việt Nam để xem xét phê duyệt. Trong thời hạn 30 ngày, kể từ ngày nhận được Điều lệ Hiệp hội công chứng viên Việt Nam, Bộ trưởng Bộ Tư pháp phê duyệt Điều lệ sau khi thống nhất ý kiến với Bộ trưởng Bộ Nội vụ; trường hợp từ chối thì phải thông báo bằng văn bản và nêu rõ lý do.</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Điều lệ Hiệp hội công chứng viên Việt Nam bị từ chối phê duyệt trong các trường hợp sau đây: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a) Có nội dung trái với quy định của Hiến pháp và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b) Quy trình, thủ tục thông qua Điều lệ không đảm bảo tính hợp lệ, dân chủ, công khai, minh bạch theo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5. Trong </w:t>
      </w:r>
      <w:r w:rsidRPr="004B3278">
        <w:rPr>
          <w:rFonts w:eastAsia="Times New Roman" w:cs="Times New Roman"/>
          <w:szCs w:val="24"/>
          <w:shd w:val="solid" w:color="FFFFFF" w:fill="auto"/>
          <w:lang w:val="en-US" w:eastAsia="vi-VN"/>
        </w:rPr>
        <w:t>trường hợp</w:t>
      </w:r>
      <w:r w:rsidRPr="004B3278">
        <w:rPr>
          <w:rFonts w:eastAsia="Times New Roman" w:cs="Times New Roman"/>
          <w:szCs w:val="24"/>
          <w:lang w:val="en-US" w:eastAsia="vi-VN"/>
        </w:rPr>
        <w:t xml:space="preserve"> Điều lệ Hiệp hội công chứng viên Việt Nam bị từ chối phê duyệt thì Hội đồng công chứng viên toàn quốc phải sửa đổi nội dung Điều lệ hoặc tổ chức lại Đại hội để thông qua Điều lệ theo đúng quy định của pháp luật.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lastRenderedPageBreak/>
        <w:t>Trong thời hạn 07 (bảy) ngày làm việc, kể từ ngày Điều lệ sửa đổi, bổ sung được thông qua, Hội đồng công chứng viên toàn quốc gửi Bộ Tư pháp Điều lệ sửa đổi, bổ sung để xem xét, phê duyệt. Việc phê duyệt Điều lệ sửa đổi, bổ sung được thực hiện theo quy định của Điều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6. Điều lệ Hiệp hội công chứng viên Việt Nam có hiệu lực kể từ ngày được phê duyệt.</w:t>
      </w:r>
    </w:p>
    <w:p w:rsidR="004B3278" w:rsidRPr="004B3278" w:rsidRDefault="004B3278" w:rsidP="004B3278">
      <w:pPr>
        <w:spacing w:after="0" w:line="240" w:lineRule="auto"/>
        <w:jc w:val="center"/>
        <w:rPr>
          <w:rFonts w:eastAsia="Times New Roman" w:cs="Times New Roman"/>
          <w:szCs w:val="24"/>
          <w:lang w:val="en-US" w:eastAsia="vi-VN"/>
        </w:rPr>
      </w:pPr>
      <w:bookmarkStart w:id="46" w:name="chuong_5"/>
      <w:r w:rsidRPr="004B3278">
        <w:rPr>
          <w:rFonts w:eastAsia="Times New Roman" w:cs="Times New Roman"/>
          <w:b/>
          <w:bCs/>
          <w:szCs w:val="24"/>
          <w:lang w:val="en-US" w:eastAsia="vi-VN"/>
        </w:rPr>
        <w:t>Chương V</w:t>
      </w:r>
      <w:bookmarkEnd w:id="46"/>
    </w:p>
    <w:p w:rsidR="004B3278" w:rsidRPr="004B3278" w:rsidRDefault="004B3278" w:rsidP="004B3278">
      <w:pPr>
        <w:spacing w:after="0" w:line="240" w:lineRule="auto"/>
        <w:jc w:val="center"/>
        <w:rPr>
          <w:rFonts w:eastAsia="Times New Roman" w:cs="Times New Roman"/>
          <w:szCs w:val="24"/>
          <w:lang w:val="en-US" w:eastAsia="vi-VN"/>
        </w:rPr>
      </w:pPr>
      <w:bookmarkStart w:id="47" w:name="chuong_5_name"/>
      <w:r w:rsidRPr="004B3278">
        <w:rPr>
          <w:rFonts w:eastAsia="Times New Roman" w:cs="Times New Roman"/>
          <w:b/>
          <w:bCs/>
          <w:szCs w:val="24"/>
          <w:lang w:val="en-US" w:eastAsia="vi-VN"/>
        </w:rPr>
        <w:t>ĐIỀU KHOẢN THI HÀNH</w:t>
      </w:r>
      <w:bookmarkEnd w:id="47"/>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48" w:name="dieu_32"/>
      <w:r w:rsidRPr="004B3278">
        <w:rPr>
          <w:rFonts w:eastAsia="Times New Roman" w:cs="Times New Roman"/>
          <w:b/>
          <w:bCs/>
          <w:szCs w:val="24"/>
          <w:lang w:val="en-US" w:eastAsia="vi-VN"/>
        </w:rPr>
        <w:t>Điều 32. Điều khoản chuyển tiếp</w:t>
      </w:r>
      <w:bookmarkEnd w:id="48"/>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Hội công chứng của các tỉnh, thành phố trực thuộc Trung ương đã được thành lập và hoạt động trước ngày Luật Công chứng năm 2014 có hiệu lực thi hành được tiếp tục hoạt động và thực hiện các nhiệm vụ, quyền hạn theo quy định tại Khoản 1 Điều 39 của Luật Công chứng năm 2014 và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Trong thời gian chưa có Hiệp hội công chứng viên Việt Nam và Điều lệ Hiệp hội công chứng viên Việt Nam, Điều lệ của Hội công chứng được tiếp tục áp dụng cho đến khi Điều lệ Hiệp hội công chứng viên Việt Nam được phê duyệt.</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3. Người đang tham gia chương trình đào tạo nghề công chứng 06 tháng theo quy định của Luật Công chứng năm 2006 tại thời điểm Luật Công chứng năm 2014 có hiệu lực thi hành thì tiếp tục thực hiện việc đào tạo theo chương trình đó và được công nhận hoàn thành việc tham gia đào tạo nghề công chứng. Việc tập sự hành nghề công chứng được thực hiện theo quy định tại Điều 11 của Luật Công chứng năm 2014.</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Điều kiện về Trưởng Văn phòng công chứng quy định tại Khoản 2 Điều 22 của Luật Công chứng năm 2014 không áp dụng đối với người đang là Trưởng Văn phòng của Văn phòng công chứng được thành lập trước ngày Luật Công chứng năm 2014 có hiệu lực thi hành.</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49" w:name="dieu_33"/>
      <w:r w:rsidRPr="004B3278">
        <w:rPr>
          <w:rFonts w:eastAsia="Times New Roman" w:cs="Times New Roman"/>
          <w:b/>
          <w:bCs/>
          <w:szCs w:val="24"/>
          <w:lang w:val="en-US" w:eastAsia="vi-VN"/>
        </w:rPr>
        <w:t>Điều 33. Hiệu lực thi hành</w:t>
      </w:r>
      <w:bookmarkEnd w:id="49"/>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1. Nghị định này có hiệu lực thi hành kể từ ngày 01 tháng 5 năm 2015.</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Nghị định số 04/2013/NĐ-CP ngày 07 tháng 01 năm 2013 của Chính phủ quy định chi tiết và hướng dẫn thi hành một số điều của Luật Công chứng số 82/2006/QH11 ngày 29 tháng 11 năm 2006 hết hiệu lực kể từ ngày Nghị định này có hiệu lực thi hành.</w:t>
      </w:r>
    </w:p>
    <w:p w:rsidR="004B3278" w:rsidRPr="004B3278" w:rsidRDefault="004B3278" w:rsidP="004B3278">
      <w:pPr>
        <w:spacing w:after="120" w:line="240" w:lineRule="auto"/>
        <w:ind w:firstLine="720"/>
        <w:jc w:val="both"/>
        <w:rPr>
          <w:rFonts w:eastAsia="Times New Roman" w:cs="Times New Roman"/>
          <w:szCs w:val="24"/>
          <w:lang w:val="en-US" w:eastAsia="vi-VN"/>
        </w:rPr>
      </w:pPr>
      <w:bookmarkStart w:id="50" w:name="dieu_34"/>
      <w:r w:rsidRPr="004B3278">
        <w:rPr>
          <w:rFonts w:eastAsia="Times New Roman" w:cs="Times New Roman"/>
          <w:b/>
          <w:bCs/>
          <w:szCs w:val="24"/>
          <w:lang w:val="en-US" w:eastAsia="vi-VN"/>
        </w:rPr>
        <w:t>Điều 34. Trách nhiệm thi hành</w:t>
      </w:r>
      <w:bookmarkEnd w:id="50"/>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1. Các Bộ trưởng, Thủ trưởng cơ quan ngang Bộ, Thủ trưởng cơ quan thuộc Chính phủ, Chủ tịch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chịu trách nhiệm thi hành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2. Bộ Tài chính chủ trì, phối hợp với Bộ Tư pháp quy định chế độ thu, nộp, quản lý, sử dụng phí công chứng; phí chứng thực bản sao từ bản chính, chứng thực chữ ký trong giấy tờ, văn bản; phí sát hạch bổ nhiệm công chứng viên; lệ phí cấp Thẻ công chứng viên, cấp giấy đăng ký hoạt động của tổ chức hành nghề công chứng và hướng dẫn việc thực hiện quy định về bảo hiểm trách nhiệm nghề nghiệp của công chứng viên theo quy định của pháp luật về kinh doanh bảo hiểm và Nghị định này.</w:t>
      </w:r>
    </w:p>
    <w:p w:rsidR="004B3278" w:rsidRPr="004B3278" w:rsidRDefault="004B3278" w:rsidP="004B3278">
      <w:pPr>
        <w:spacing w:after="12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 xml:space="preserve">3. Hết thời hạn quy định tại Khoản 1 và Khoản 3 Điều 79 của Luật Công chứng năm 2014 về việc chuyển đổi Văn phòng công chứng do một công chứng viên thành lập và việc mua bảo hiểm trách nhiệm nghề nghiệp cho công chứng viên của Văn phòng công chứng, </w:t>
      </w:r>
      <w:r w:rsidRPr="004B3278">
        <w:rPr>
          <w:rFonts w:eastAsia="Times New Roman" w:cs="Times New Roman"/>
          <w:szCs w:val="24"/>
          <w:shd w:val="solid" w:color="FFFFFF" w:fill="auto"/>
          <w:lang w:val="en-US" w:eastAsia="vi-VN"/>
        </w:rPr>
        <w:t>Ủy ban</w:t>
      </w:r>
      <w:r w:rsidRPr="004B3278">
        <w:rPr>
          <w:rFonts w:eastAsia="Times New Roman" w:cs="Times New Roman"/>
          <w:szCs w:val="24"/>
          <w:lang w:val="en-US" w:eastAsia="vi-VN"/>
        </w:rPr>
        <w:t xml:space="preserve"> nhân dân cấp tỉnh có trách nhiệm rà soát, báo cáo Bộ Tư pháp tổng hợp để báo cáo Chính phủ.</w:t>
      </w:r>
    </w:p>
    <w:p w:rsidR="004B3278" w:rsidRPr="004B3278" w:rsidRDefault="004B3278" w:rsidP="004B3278">
      <w:pPr>
        <w:spacing w:after="0" w:line="240" w:lineRule="auto"/>
        <w:ind w:firstLine="720"/>
        <w:jc w:val="both"/>
        <w:rPr>
          <w:rFonts w:eastAsia="Times New Roman" w:cs="Times New Roman"/>
          <w:szCs w:val="24"/>
          <w:lang w:val="en-US" w:eastAsia="vi-VN"/>
        </w:rPr>
      </w:pPr>
      <w:r w:rsidRPr="004B3278">
        <w:rPr>
          <w:rFonts w:eastAsia="Times New Roman" w:cs="Times New Roman"/>
          <w:szCs w:val="24"/>
          <w:lang w:val="en-US" w:eastAsia="vi-VN"/>
        </w:rPr>
        <w:t>4. Bộ trưởng Bộ Tư pháp chịu trách nhiệm hướng dẫn thi hành Nghị định này./</w:t>
      </w:r>
    </w:p>
    <w:p w:rsidR="004B3278" w:rsidRPr="004B3278" w:rsidRDefault="004B3278" w:rsidP="004B3278">
      <w:pPr>
        <w:spacing w:after="0" w:line="240" w:lineRule="auto"/>
        <w:rPr>
          <w:rFonts w:eastAsia="Times New Roman" w:cs="Times New Roman"/>
          <w:szCs w:val="24"/>
          <w:lang w:val="en-US" w:eastAsia="vi-VN"/>
        </w:rPr>
      </w:pPr>
      <w:r w:rsidRPr="004B3278">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21"/>
        <w:gridCol w:w="4805"/>
      </w:tblGrid>
      <w:tr w:rsidR="004B3278" w:rsidRPr="004B3278" w:rsidTr="004B3278">
        <w:tc>
          <w:tcPr>
            <w:tcW w:w="4428" w:type="dxa"/>
            <w:tcBorders>
              <w:top w:val="nil"/>
              <w:left w:val="nil"/>
              <w:bottom w:val="nil"/>
              <w:right w:val="nil"/>
            </w:tcBorders>
            <w:tcMar>
              <w:top w:w="0" w:type="dxa"/>
              <w:left w:w="108" w:type="dxa"/>
              <w:bottom w:w="0" w:type="dxa"/>
              <w:right w:w="108" w:type="dxa"/>
            </w:tcMar>
            <w:hideMark/>
          </w:tcPr>
          <w:p w:rsidR="004B3278" w:rsidRPr="004B3278" w:rsidRDefault="004B3278" w:rsidP="004B3278">
            <w:pPr>
              <w:spacing w:after="0" w:line="240" w:lineRule="auto"/>
              <w:rPr>
                <w:rFonts w:eastAsia="Times New Roman" w:cs="Times New Roman"/>
                <w:szCs w:val="24"/>
                <w:lang w:eastAsia="vi-VN"/>
              </w:rPr>
            </w:pPr>
            <w:r w:rsidRPr="004B3278">
              <w:rPr>
                <w:rFonts w:eastAsia="Times New Roman" w:cs="Times New Roman"/>
                <w:b/>
                <w:bCs/>
                <w:i/>
                <w:iCs/>
                <w:szCs w:val="24"/>
                <w:lang w:eastAsia="vi-VN"/>
              </w:rPr>
              <w:lastRenderedPageBreak/>
              <w:t> Nơi nhận:</w:t>
            </w:r>
            <w:r w:rsidRPr="004B3278">
              <w:rPr>
                <w:rFonts w:eastAsia="Times New Roman" w:cs="Times New Roman"/>
                <w:b/>
                <w:bCs/>
                <w:i/>
                <w:iCs/>
                <w:szCs w:val="24"/>
                <w:lang w:eastAsia="vi-VN"/>
              </w:rPr>
              <w:br/>
            </w:r>
            <w:r w:rsidRPr="004B3278">
              <w:rPr>
                <w:rFonts w:eastAsia="Times New Roman" w:cs="Times New Roman"/>
                <w:szCs w:val="24"/>
                <w:lang w:eastAsia="vi-VN"/>
              </w:rPr>
              <w:t>- Ban Bí thư Trung ương Đảng;</w:t>
            </w:r>
            <w:r w:rsidRPr="004B3278">
              <w:rPr>
                <w:rFonts w:eastAsia="Times New Roman" w:cs="Times New Roman"/>
                <w:szCs w:val="24"/>
                <w:lang w:eastAsia="vi-VN"/>
              </w:rPr>
              <w:br/>
              <w:t>- Thủ tướng, các Phó Thủ tướng Chính phủ;</w:t>
            </w:r>
            <w:r w:rsidRPr="004B3278">
              <w:rPr>
                <w:rFonts w:eastAsia="Times New Roman" w:cs="Times New Roman"/>
                <w:szCs w:val="24"/>
                <w:lang w:eastAsia="vi-VN"/>
              </w:rPr>
              <w:br/>
              <w:t>- Các Bộ, cơ quan ngang Bộ, cơ quan thuộc Chính phủ;</w:t>
            </w:r>
            <w:r w:rsidRPr="004B3278">
              <w:rPr>
                <w:rFonts w:eastAsia="Times New Roman" w:cs="Times New Roman"/>
                <w:szCs w:val="24"/>
                <w:lang w:eastAsia="vi-VN"/>
              </w:rPr>
              <w:br/>
              <w:t>- HĐND, UBND các tỉnh, thành phố trực thuộc Trung ương;</w:t>
            </w:r>
            <w:r w:rsidRPr="004B3278">
              <w:rPr>
                <w:rFonts w:eastAsia="Times New Roman" w:cs="Times New Roman"/>
                <w:szCs w:val="24"/>
                <w:lang w:eastAsia="vi-VN"/>
              </w:rPr>
              <w:br/>
              <w:t>- Văn phòng Trung ương và các Ban của Đảng;</w:t>
            </w:r>
            <w:r w:rsidRPr="004B3278">
              <w:rPr>
                <w:rFonts w:eastAsia="Times New Roman" w:cs="Times New Roman"/>
                <w:szCs w:val="24"/>
                <w:lang w:eastAsia="vi-VN"/>
              </w:rPr>
              <w:br/>
              <w:t>- Văn phòng Tổng Bí thư;</w:t>
            </w:r>
            <w:r w:rsidRPr="004B3278">
              <w:rPr>
                <w:rFonts w:eastAsia="Times New Roman" w:cs="Times New Roman"/>
                <w:szCs w:val="24"/>
                <w:lang w:eastAsia="vi-VN"/>
              </w:rPr>
              <w:br/>
              <w:t>- Văn phòng Chủ tịch nước;</w:t>
            </w:r>
            <w:r w:rsidRPr="004B3278">
              <w:rPr>
                <w:rFonts w:eastAsia="Times New Roman" w:cs="Times New Roman"/>
                <w:szCs w:val="24"/>
                <w:lang w:eastAsia="vi-VN"/>
              </w:rPr>
              <w:br/>
              <w:t xml:space="preserve">- Hội đồng Dân tộc và các </w:t>
            </w:r>
            <w:r w:rsidRPr="004B3278">
              <w:rPr>
                <w:rFonts w:eastAsia="Times New Roman" w:cs="Times New Roman"/>
                <w:szCs w:val="24"/>
                <w:shd w:val="solid" w:color="FFFFFF" w:fill="auto"/>
                <w:lang w:eastAsia="vi-VN"/>
              </w:rPr>
              <w:t>Ủy ban</w:t>
            </w:r>
            <w:r w:rsidRPr="004B3278">
              <w:rPr>
                <w:rFonts w:eastAsia="Times New Roman" w:cs="Times New Roman"/>
                <w:szCs w:val="24"/>
                <w:lang w:eastAsia="vi-VN"/>
              </w:rPr>
              <w:t xml:space="preserve"> của Quốc hội;</w:t>
            </w:r>
            <w:r w:rsidRPr="004B3278">
              <w:rPr>
                <w:rFonts w:eastAsia="Times New Roman" w:cs="Times New Roman"/>
                <w:szCs w:val="24"/>
                <w:lang w:eastAsia="vi-VN"/>
              </w:rPr>
              <w:br/>
              <w:t>- Văn phòng Quốc hội;</w:t>
            </w:r>
            <w:r w:rsidRPr="004B3278">
              <w:rPr>
                <w:rFonts w:eastAsia="Times New Roman" w:cs="Times New Roman"/>
                <w:szCs w:val="24"/>
                <w:lang w:eastAsia="vi-VN"/>
              </w:rPr>
              <w:br/>
              <w:t>- Tòa án nhân dân tối cao;</w:t>
            </w:r>
            <w:r w:rsidRPr="004B3278">
              <w:rPr>
                <w:rFonts w:eastAsia="Times New Roman" w:cs="Times New Roman"/>
                <w:szCs w:val="24"/>
                <w:lang w:eastAsia="vi-VN"/>
              </w:rPr>
              <w:br/>
              <w:t>- Viện Kiểm sát nhân dân tối cao;</w:t>
            </w:r>
            <w:r w:rsidRPr="004B3278">
              <w:rPr>
                <w:rFonts w:eastAsia="Times New Roman" w:cs="Times New Roman"/>
                <w:szCs w:val="24"/>
                <w:lang w:eastAsia="vi-VN"/>
              </w:rPr>
              <w:br/>
              <w:t>- Kiểm toán Nhà nước;</w:t>
            </w:r>
            <w:r w:rsidRPr="004B3278">
              <w:rPr>
                <w:rFonts w:eastAsia="Times New Roman" w:cs="Times New Roman"/>
                <w:szCs w:val="24"/>
                <w:lang w:eastAsia="vi-VN"/>
              </w:rPr>
              <w:br/>
            </w:r>
            <w:r w:rsidRPr="004B3278">
              <w:rPr>
                <w:rFonts w:eastAsia="Times New Roman" w:cs="Times New Roman"/>
                <w:szCs w:val="24"/>
                <w:shd w:val="solid" w:color="FFFFFF" w:fill="auto"/>
                <w:lang w:eastAsia="vi-VN"/>
              </w:rPr>
              <w:t>- Ủy ban</w:t>
            </w:r>
            <w:r w:rsidRPr="004B3278">
              <w:rPr>
                <w:rFonts w:eastAsia="Times New Roman" w:cs="Times New Roman"/>
                <w:szCs w:val="24"/>
                <w:lang w:eastAsia="vi-VN"/>
              </w:rPr>
              <w:t xml:space="preserve"> Giám sát tài chính Quốc gia;</w:t>
            </w:r>
            <w:r w:rsidRPr="004B3278">
              <w:rPr>
                <w:rFonts w:eastAsia="Times New Roman" w:cs="Times New Roman"/>
                <w:szCs w:val="24"/>
                <w:lang w:eastAsia="vi-VN"/>
              </w:rPr>
              <w:br/>
              <w:t>- Ngân hàng Chính sách xã hội;</w:t>
            </w:r>
            <w:r w:rsidRPr="004B3278">
              <w:rPr>
                <w:rFonts w:eastAsia="Times New Roman" w:cs="Times New Roman"/>
                <w:szCs w:val="24"/>
                <w:lang w:eastAsia="vi-VN"/>
              </w:rPr>
              <w:br/>
              <w:t>- Ngân hàng Phát triển Việt Nam;</w:t>
            </w:r>
            <w:r w:rsidRPr="004B3278">
              <w:rPr>
                <w:rFonts w:eastAsia="Times New Roman" w:cs="Times New Roman"/>
                <w:szCs w:val="24"/>
                <w:lang w:eastAsia="vi-VN"/>
              </w:rPr>
              <w:br/>
            </w:r>
            <w:r w:rsidRPr="004B3278">
              <w:rPr>
                <w:rFonts w:eastAsia="Times New Roman" w:cs="Times New Roman"/>
                <w:szCs w:val="24"/>
                <w:shd w:val="solid" w:color="FFFFFF" w:fill="auto"/>
                <w:lang w:eastAsia="vi-VN"/>
              </w:rPr>
              <w:t>- Ủy ban</w:t>
            </w:r>
            <w:r w:rsidRPr="004B3278">
              <w:rPr>
                <w:rFonts w:eastAsia="Times New Roman" w:cs="Times New Roman"/>
                <w:szCs w:val="24"/>
                <w:lang w:eastAsia="vi-VN"/>
              </w:rPr>
              <w:t xml:space="preserve"> Trung ương Mặt trận Tổ quốc Việt Nam;</w:t>
            </w:r>
            <w:r w:rsidRPr="004B3278">
              <w:rPr>
                <w:rFonts w:eastAsia="Times New Roman" w:cs="Times New Roman"/>
                <w:szCs w:val="24"/>
                <w:lang w:eastAsia="vi-VN"/>
              </w:rPr>
              <w:br/>
              <w:t>- Cơ quan Trung ương của các đoàn thể;</w:t>
            </w:r>
            <w:r w:rsidRPr="004B3278">
              <w:rPr>
                <w:rFonts w:eastAsia="Times New Roman" w:cs="Times New Roman"/>
                <w:szCs w:val="24"/>
                <w:lang w:eastAsia="vi-VN"/>
              </w:rPr>
              <w:br/>
              <w:t>- VPCP: BTCN, các PCN, Trợ lý TTg, TGĐ Cổng TTĐT,</w:t>
            </w:r>
            <w:r w:rsidRPr="004B3278">
              <w:rPr>
                <w:rFonts w:eastAsia="Times New Roman" w:cs="Times New Roman"/>
                <w:szCs w:val="24"/>
                <w:lang w:eastAsia="vi-VN"/>
              </w:rPr>
              <w:br/>
              <w:t>các Vụ, Cục, đơn vị trực thuộc, Công báo;</w:t>
            </w:r>
            <w:r w:rsidRPr="004B3278">
              <w:rPr>
                <w:rFonts w:eastAsia="Times New Roman" w:cs="Times New Roman"/>
                <w:szCs w:val="24"/>
                <w:lang w:eastAsia="vi-VN"/>
              </w:rPr>
              <w:br/>
              <w:t>- Lưu: Văn thư, PL (3b).</w:t>
            </w:r>
          </w:p>
        </w:tc>
        <w:tc>
          <w:tcPr>
            <w:tcW w:w="5040" w:type="dxa"/>
            <w:tcBorders>
              <w:top w:val="nil"/>
              <w:left w:val="nil"/>
              <w:bottom w:val="nil"/>
              <w:right w:val="nil"/>
            </w:tcBorders>
            <w:tcMar>
              <w:top w:w="0" w:type="dxa"/>
              <w:left w:w="108" w:type="dxa"/>
              <w:bottom w:w="0" w:type="dxa"/>
              <w:right w:w="108" w:type="dxa"/>
            </w:tcMar>
            <w:hideMark/>
          </w:tcPr>
          <w:p w:rsidR="004B3278" w:rsidRPr="004B3278" w:rsidRDefault="004B3278" w:rsidP="004B3278">
            <w:pPr>
              <w:spacing w:after="0" w:line="240" w:lineRule="auto"/>
              <w:jc w:val="center"/>
              <w:rPr>
                <w:rFonts w:eastAsia="Times New Roman" w:cs="Times New Roman"/>
                <w:szCs w:val="24"/>
                <w:lang w:eastAsia="vi-VN"/>
              </w:rPr>
            </w:pPr>
            <w:r w:rsidRPr="004B3278">
              <w:rPr>
                <w:rFonts w:eastAsia="Times New Roman" w:cs="Times New Roman"/>
                <w:b/>
                <w:bCs/>
                <w:szCs w:val="24"/>
                <w:lang w:eastAsia="vi-VN"/>
              </w:rPr>
              <w:t>TM. CHÍNH PHỦ</w:t>
            </w:r>
            <w:r w:rsidRPr="004B3278">
              <w:rPr>
                <w:rFonts w:eastAsia="Times New Roman" w:cs="Times New Roman"/>
                <w:b/>
                <w:bCs/>
                <w:szCs w:val="24"/>
                <w:lang w:eastAsia="vi-VN"/>
              </w:rPr>
              <w:br/>
              <w:t>THỦ TƯỚNG</w:t>
            </w:r>
            <w:r w:rsidRPr="004B3278">
              <w:rPr>
                <w:rFonts w:eastAsia="Times New Roman" w:cs="Times New Roman"/>
                <w:b/>
                <w:bCs/>
                <w:szCs w:val="24"/>
                <w:lang w:eastAsia="vi-VN"/>
              </w:rPr>
              <w:br/>
            </w:r>
            <w:r w:rsidRPr="004B3278">
              <w:rPr>
                <w:rFonts w:eastAsia="Times New Roman" w:cs="Times New Roman"/>
                <w:b/>
                <w:bCs/>
                <w:szCs w:val="24"/>
                <w:lang w:eastAsia="vi-VN"/>
              </w:rPr>
              <w:br/>
            </w:r>
            <w:r w:rsidRPr="004B3278">
              <w:rPr>
                <w:rFonts w:eastAsia="Times New Roman" w:cs="Times New Roman"/>
                <w:b/>
                <w:bCs/>
                <w:szCs w:val="24"/>
                <w:lang w:eastAsia="vi-VN"/>
              </w:rPr>
              <w:br/>
            </w:r>
            <w:r w:rsidRPr="004B3278">
              <w:rPr>
                <w:rFonts w:eastAsia="Times New Roman" w:cs="Times New Roman"/>
                <w:b/>
                <w:bCs/>
                <w:szCs w:val="24"/>
                <w:lang w:eastAsia="vi-VN"/>
              </w:rPr>
              <w:br/>
            </w:r>
            <w:r w:rsidRPr="004B3278">
              <w:rPr>
                <w:rFonts w:eastAsia="Times New Roman" w:cs="Times New Roman"/>
                <w:b/>
                <w:bCs/>
                <w:szCs w:val="24"/>
                <w:lang w:eastAsia="vi-VN"/>
              </w:rPr>
              <w:br/>
              <w:t>Nguyễn Tấn Dũng</w:t>
            </w:r>
          </w:p>
        </w:tc>
      </w:tr>
    </w:tbl>
    <w:p w:rsidR="004B3278" w:rsidRPr="004B3278" w:rsidRDefault="004B3278" w:rsidP="004B3278">
      <w:pPr>
        <w:spacing w:after="0" w:line="240" w:lineRule="auto"/>
        <w:rPr>
          <w:rFonts w:eastAsia="Times New Roman" w:cs="Times New Roman"/>
          <w:szCs w:val="24"/>
          <w:lang w:eastAsia="vi-VN"/>
        </w:rPr>
      </w:pPr>
      <w:r w:rsidRPr="004B3278">
        <w:rPr>
          <w:rFonts w:eastAsia="Times New Roman" w:cs="Times New Roman"/>
          <w:b/>
          <w:bCs/>
          <w:szCs w:val="24"/>
          <w:lang w:eastAsia="vi-VN"/>
        </w:rPr>
        <w:t> </w:t>
      </w:r>
    </w:p>
    <w:p w:rsidR="004B3278" w:rsidRPr="004B3278" w:rsidRDefault="004B3278" w:rsidP="004B3278">
      <w:pPr>
        <w:spacing w:after="0" w:line="240" w:lineRule="auto"/>
        <w:rPr>
          <w:rFonts w:eastAsia="Times New Roman" w:cs="Times New Roman"/>
          <w:szCs w:val="24"/>
          <w:lang w:eastAsia="vi-VN"/>
        </w:rPr>
      </w:pPr>
    </w:p>
    <w:p w:rsidR="00A1241C" w:rsidRPr="004B3278" w:rsidRDefault="00A1241C" w:rsidP="004B3278">
      <w:bookmarkStart w:id="51" w:name="_GoBack"/>
      <w:bookmarkEnd w:id="51"/>
    </w:p>
    <w:sectPr w:rsidR="00A1241C" w:rsidRPr="004B3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 w:name="CordiaUPC">
    <w:charset w:val="DE"/>
    <w:family w:val="swiss"/>
    <w:pitch w:val="variable"/>
    <w:sig w:usb0="81000003" w:usb1="00000000" w:usb2="00000000" w:usb3="00000000" w:csb0="00010001"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211ACD"/>
    <w:rsid w:val="002842CD"/>
    <w:rsid w:val="002B1610"/>
    <w:rsid w:val="002F006F"/>
    <w:rsid w:val="00322715"/>
    <w:rsid w:val="003627B7"/>
    <w:rsid w:val="0037407C"/>
    <w:rsid w:val="00385AA1"/>
    <w:rsid w:val="00420272"/>
    <w:rsid w:val="0046074D"/>
    <w:rsid w:val="00466A32"/>
    <w:rsid w:val="004B0073"/>
    <w:rsid w:val="004B3278"/>
    <w:rsid w:val="004E1F5A"/>
    <w:rsid w:val="00512C1C"/>
    <w:rsid w:val="00514948"/>
    <w:rsid w:val="0054458D"/>
    <w:rsid w:val="005B2D4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uiPriority w:val="99"/>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3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uiPriority w:val="99"/>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paragraph" w:customStyle="1" w:styleId="dieu-ten">
    <w:name w:val="dieu-ten"/>
    <w:basedOn w:val="NormalWeb"/>
    <w:rsid w:val="00161475"/>
    <w:pPr>
      <w:widowControl w:val="0"/>
      <w:tabs>
        <w:tab w:val="left" w:pos="1800"/>
      </w:tabs>
      <w:spacing w:before="240" w:beforeAutospacing="0" w:after="0" w:afterAutospacing="0"/>
      <w:jc w:val="both"/>
    </w:pPr>
    <w:rPr>
      <w:rFonts w:ascii="Times New Roman Bold" w:eastAsia="Calibri" w:hAnsi="Times New Roman Bold"/>
      <w:b/>
      <w:spacing w:val="-8"/>
      <w:sz w:val="28"/>
      <w:szCs w:val="28"/>
      <w:lang w:val="en-US"/>
    </w:rPr>
  </w:style>
  <w:style w:type="paragraph" w:customStyle="1" w:styleId="Styledieu-tenBefore6pt">
    <w:name w:val="Style dieu-ten + Before:  6 pt"/>
    <w:basedOn w:val="dieu-ten"/>
    <w:autoRedefine/>
    <w:rsid w:val="00161475"/>
    <w:pPr>
      <w:spacing w:before="120" w:line="360" w:lineRule="exact"/>
      <w:ind w:firstLine="720"/>
    </w:pPr>
    <w:rPr>
      <w:rFonts w:eastAsia="Times New Roman"/>
      <w:bCs/>
      <w:spacing w:val="-4"/>
    </w:rPr>
  </w:style>
  <w:style w:type="character" w:customStyle="1" w:styleId="TOC2Char">
    <w:name w:val="TOC 2 Char"/>
    <w:link w:val="TOC2"/>
    <w:semiHidden/>
    <w:locked/>
    <w:rsid w:val="004B3278"/>
    <w:rPr>
      <w:rFonts w:eastAsia="Calibri" w:cs="Times New Roman"/>
      <w:color w:val="0000FF"/>
      <w:szCs w:val="24"/>
      <w:lang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customStyle="1" w:styleId="Bodytext91">
    <w:name w:val="Body text (9)1"/>
    <w:basedOn w:val="Normal"/>
    <w:rsid w:val="004B3278"/>
    <w:pPr>
      <w:widowControl w:val="0"/>
      <w:shd w:val="clear" w:color="auto" w:fill="FFFFFF"/>
      <w:spacing w:after="180" w:line="299" w:lineRule="exact"/>
      <w:jc w:val="center"/>
    </w:pPr>
    <w:rPr>
      <w:spacing w:val="-4"/>
      <w:sz w:val="25"/>
      <w:szCs w:val="25"/>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B3278"/>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B3278"/>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Tablecaption21">
    <w:name w:val="Table caption (2)1"/>
    <w:basedOn w:val="Normal"/>
    <w:uiPriority w:val="99"/>
    <w:rsid w:val="004B3278"/>
    <w:pPr>
      <w:widowControl w:val="0"/>
      <w:shd w:val="clear" w:color="auto" w:fill="FFFFFF"/>
      <w:spacing w:after="0" w:line="240" w:lineRule="atLeast"/>
    </w:pPr>
    <w:rPr>
      <w:rFonts w:eastAsia="Courier New" w:cs="Times New Roman"/>
      <w:b/>
      <w:bCs/>
      <w:spacing w:val="6"/>
      <w:sz w:val="19"/>
      <w:szCs w:val="19"/>
      <w:lang w:eastAsia="vi-VN"/>
    </w:rPr>
  </w:style>
  <w:style w:type="paragraph" w:customStyle="1" w:styleId="Tablecaption31">
    <w:name w:val="Table caption (3)1"/>
    <w:basedOn w:val="Normal"/>
    <w:uiPriority w:val="99"/>
    <w:rsid w:val="004B3278"/>
    <w:pPr>
      <w:widowControl w:val="0"/>
      <w:shd w:val="clear" w:color="auto" w:fill="FFFFFF"/>
      <w:spacing w:after="0" w:line="240" w:lineRule="atLeast"/>
    </w:pPr>
    <w:rPr>
      <w:rFonts w:eastAsia="Courier New" w:cs="Times New Roman"/>
      <w:b/>
      <w:bCs/>
      <w:i/>
      <w:iCs/>
      <w:spacing w:val="2"/>
      <w:sz w:val="14"/>
      <w:szCs w:val="14"/>
      <w:lang w:eastAsia="vi-VN"/>
    </w:rPr>
  </w:style>
  <w:style w:type="paragraph" w:customStyle="1" w:styleId="Bodytext161">
    <w:name w:val="Body text (16)1"/>
    <w:basedOn w:val="Normal"/>
    <w:uiPriority w:val="99"/>
    <w:rsid w:val="004B3278"/>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B3278"/>
    <w:pPr>
      <w:widowControl w:val="0"/>
      <w:shd w:val="clear" w:color="auto" w:fill="FFFFFF"/>
      <w:spacing w:after="0" w:line="331" w:lineRule="exact"/>
      <w:jc w:val="both"/>
    </w:pPr>
    <w:rPr>
      <w:rFonts w:eastAsia="Courier New" w:cs="Times New Roman"/>
      <w:spacing w:val="5"/>
      <w:sz w:val="23"/>
      <w:szCs w:val="23"/>
      <w:lang w:eastAsia="vi-VN"/>
    </w:rPr>
  </w:style>
  <w:style w:type="paragraph" w:customStyle="1" w:styleId="Bodytext181">
    <w:name w:val="Body text (18)1"/>
    <w:basedOn w:val="Normal"/>
    <w:uiPriority w:val="99"/>
    <w:rsid w:val="004B3278"/>
    <w:pPr>
      <w:widowControl w:val="0"/>
      <w:shd w:val="clear" w:color="auto" w:fill="FFFFFF"/>
      <w:spacing w:after="0" w:line="298" w:lineRule="exact"/>
      <w:jc w:val="both"/>
    </w:pPr>
    <w:rPr>
      <w:rFonts w:eastAsia="Courier New" w:cs="Times New Roman"/>
      <w:i/>
      <w:iCs/>
      <w:spacing w:val="3"/>
      <w:sz w:val="23"/>
      <w:szCs w:val="23"/>
      <w:lang w:eastAsia="vi-VN"/>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B3278"/>
    <w:pPr>
      <w:widowControl w:val="0"/>
      <w:shd w:val="clear" w:color="auto" w:fill="FFFFFF"/>
      <w:spacing w:after="0" w:line="240" w:lineRule="atLeast"/>
    </w:pPr>
    <w:rPr>
      <w:rFonts w:eastAsia="Courier New" w:cs="Times New Roman"/>
      <w:b/>
      <w:bCs/>
      <w:sz w:val="23"/>
      <w:szCs w:val="23"/>
      <w:lang w:eastAsia="vi-VN"/>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paragraph" w:customStyle="1" w:styleId="Bodytext341">
    <w:name w:val="Body text (34)1"/>
    <w:basedOn w:val="Normal"/>
    <w:uiPriority w:val="99"/>
    <w:rsid w:val="004B3278"/>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paragraph" w:customStyle="1" w:styleId="Heading321">
    <w:name w:val="Heading #3 (2)1"/>
    <w:basedOn w:val="Normal"/>
    <w:uiPriority w:val="99"/>
    <w:rsid w:val="004B3278"/>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B3278"/>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B3278"/>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Bodytext131">
    <w:name w:val="Body text (13)1"/>
    <w:basedOn w:val="Normal"/>
    <w:uiPriority w:val="99"/>
    <w:rsid w:val="004B3278"/>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styleId="EndnoteReference">
    <w:name w:val="endnote reference"/>
    <w:uiPriority w:val="99"/>
    <w:semiHidden/>
    <w:unhideWhenUsed/>
    <w:rsid w:val="004B3278"/>
    <w:rPr>
      <w:vertAlign w:val="superscript"/>
    </w:rPr>
  </w:style>
  <w:style w:type="character" w:customStyle="1" w:styleId="Picturecaption2SmallCaps">
    <w:name w:val="Picture caption (2) + Small Caps"/>
    <w:basedOn w:val="Picturecaption2"/>
    <w:rsid w:val="004B3278"/>
    <w:rPr>
      <w:rFonts w:ascii="Segoe UI" w:hAnsi="Segoe UI" w:cs="Segoe UI"/>
      <w:spacing w:val="11"/>
      <w:sz w:val="18"/>
      <w:szCs w:val="18"/>
      <w:shd w:val="clear" w:color="auto" w:fill="FFFFFF"/>
    </w:rPr>
  </w:style>
  <w:style w:type="character" w:customStyle="1" w:styleId="Bodytext10Spacing0pt">
    <w:name w:val="Body text (10) + Spacing 0 pt"/>
    <w:rsid w:val="004B3278"/>
    <w:rPr>
      <w:i/>
      <w:iCs/>
      <w:noProof/>
      <w:spacing w:val="0"/>
      <w:sz w:val="22"/>
      <w:szCs w:val="22"/>
      <w:shd w:val="clear" w:color="auto" w:fill="FFFFFF"/>
    </w:rPr>
  </w:style>
  <w:style w:type="character" w:customStyle="1" w:styleId="Bodytexta">
    <w:name w:val="Body text"/>
    <w:basedOn w:val="Bodytext0"/>
    <w:rsid w:val="004B3278"/>
    <w:rPr>
      <w:spacing w:val="-6"/>
      <w:sz w:val="27"/>
      <w:szCs w:val="27"/>
      <w:shd w:val="clear" w:color="auto" w:fill="FFFFFF"/>
    </w:rPr>
  </w:style>
  <w:style w:type="character" w:customStyle="1" w:styleId="Bodytext42">
    <w:name w:val="Body text4"/>
    <w:rsid w:val="004B3278"/>
    <w:rPr>
      <w:rFonts w:ascii="Times New Roman" w:hAnsi="Times New Roman" w:cs="Times New Roman" w:hint="default"/>
      <w:spacing w:val="4"/>
      <w:sz w:val="23"/>
      <w:szCs w:val="23"/>
      <w:shd w:val="clear" w:color="auto" w:fill="FFFFFF"/>
    </w:rPr>
  </w:style>
  <w:style w:type="character" w:customStyle="1" w:styleId="Bodytext7pt">
    <w:name w:val="Body text + 7 pt"/>
    <w:aliases w:val="Bold12,Italic9,Spacing 0 pt56,Body text + 5.5 pt,Body text (8) + 10 pt1,Body text (8) + 4.5 pt,Scale 120%,Scale 200%1"/>
    <w:rsid w:val="004B3278"/>
    <w:rPr>
      <w:rFonts w:ascii="Times New Roman" w:hAnsi="Times New Roman" w:cs="Times New Roman" w:hint="default"/>
      <w:b/>
      <w:bCs/>
      <w:i/>
      <w:iCs/>
      <w:spacing w:val="7"/>
      <w:sz w:val="14"/>
      <w:szCs w:val="14"/>
      <w:shd w:val="clear" w:color="auto" w:fill="FFFFFF"/>
    </w:rPr>
  </w:style>
  <w:style w:type="character" w:customStyle="1" w:styleId="Tablecaption3NotBold">
    <w:name w:val="Table caption (3) + Not Bold"/>
    <w:aliases w:val="Spacing 0 pt53,Spacing 0 pt71,Body text + 9.5 pt8"/>
    <w:rsid w:val="004B3278"/>
    <w:rPr>
      <w:rFonts w:ascii="Times New Roman" w:hAnsi="Times New Roman" w:cs="Times New Roman" w:hint="default"/>
      <w:b/>
      <w:bCs/>
      <w:i/>
      <w:iCs/>
      <w:spacing w:val="-2"/>
      <w:sz w:val="14"/>
      <w:szCs w:val="14"/>
      <w:shd w:val="clear" w:color="auto" w:fill="FFFFFF"/>
    </w:rPr>
  </w:style>
  <w:style w:type="character" w:customStyle="1" w:styleId="Tablecaption32">
    <w:name w:val="Table caption (3)2"/>
    <w:rsid w:val="004B3278"/>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rsid w:val="004B3278"/>
    <w:rPr>
      <w:rFonts w:ascii="Times New Roman" w:hAnsi="Times New Roman" w:cs="Times New Roman" w:hint="default"/>
      <w:i/>
      <w:iCs/>
      <w:spacing w:val="2"/>
      <w:sz w:val="17"/>
      <w:szCs w:val="17"/>
      <w:shd w:val="clear" w:color="auto" w:fill="FFFFFF"/>
    </w:rPr>
  </w:style>
  <w:style w:type="character" w:customStyle="1" w:styleId="Bodytext231">
    <w:name w:val="Body text (2)3"/>
    <w:rsid w:val="004B3278"/>
    <w:rPr>
      <w:rFonts w:ascii="Times New Roman" w:hAnsi="Times New Roman" w:cs="Times New Roman" w:hint="default"/>
      <w:b/>
      <w:bCs/>
      <w:spacing w:val="6"/>
      <w:sz w:val="23"/>
      <w:szCs w:val="23"/>
      <w:shd w:val="clear" w:color="auto" w:fill="FFFFFF"/>
    </w:rPr>
  </w:style>
  <w:style w:type="character" w:customStyle="1" w:styleId="Bodytext222">
    <w:name w:val="Body text (22)2"/>
    <w:rsid w:val="004B3278"/>
    <w:rPr>
      <w:rFonts w:ascii="Verdana" w:hAnsi="Verdana" w:cs="Verdana" w:hint="default"/>
      <w:spacing w:val="3"/>
      <w:sz w:val="12"/>
      <w:szCs w:val="12"/>
      <w:u w:val="single"/>
      <w:shd w:val="clear" w:color="auto" w:fill="FFFFFF"/>
    </w:rPr>
  </w:style>
  <w:style w:type="character" w:customStyle="1" w:styleId="Bodytext17Spacing0pt">
    <w:name w:val="Body text (17) + Spacing 0 pt"/>
    <w:rsid w:val="004B3278"/>
    <w:rPr>
      <w:rFonts w:ascii="Times New Roman" w:hAnsi="Times New Roman" w:cs="Times New Roman" w:hint="default"/>
      <w:spacing w:val="4"/>
      <w:sz w:val="23"/>
      <w:szCs w:val="23"/>
      <w:shd w:val="clear" w:color="auto" w:fill="FFFFFF"/>
    </w:rPr>
  </w:style>
  <w:style w:type="character" w:customStyle="1" w:styleId="Bodytext17Spacing0pt1">
    <w:name w:val="Body text (17) + Spacing 0 pt1"/>
    <w:rsid w:val="004B3278"/>
    <w:rPr>
      <w:rFonts w:ascii="Times New Roman" w:hAnsi="Times New Roman" w:cs="Times New Roman" w:hint="default"/>
      <w:spacing w:val="4"/>
      <w:sz w:val="23"/>
      <w:szCs w:val="23"/>
      <w:shd w:val="clear" w:color="auto" w:fill="FFFFFF"/>
    </w:rPr>
  </w:style>
  <w:style w:type="character" w:customStyle="1" w:styleId="Bodytext18Spacing0pt">
    <w:name w:val="Body text (18) + Spacing 0 pt"/>
    <w:rsid w:val="004B3278"/>
    <w:rPr>
      <w:rFonts w:ascii="Times New Roman" w:hAnsi="Times New Roman" w:cs="Times New Roman" w:hint="default"/>
      <w:b/>
      <w:bCs/>
      <w:i/>
      <w:iCs/>
      <w:spacing w:val="2"/>
      <w:sz w:val="23"/>
      <w:szCs w:val="23"/>
      <w:shd w:val="clear" w:color="auto" w:fill="FFFFFF"/>
    </w:rPr>
  </w:style>
  <w:style w:type="character" w:customStyle="1" w:styleId="BodytextSpacing1pt">
    <w:name w:val="Body text + Spacing 1 pt"/>
    <w:rsid w:val="004B3278"/>
    <w:rPr>
      <w:rFonts w:ascii="Times New Roman" w:hAnsi="Times New Roman" w:cs="Times New Roman" w:hint="default"/>
      <w:spacing w:val="31"/>
      <w:sz w:val="23"/>
      <w:szCs w:val="23"/>
      <w:shd w:val="clear" w:color="auto" w:fill="FFFFFF"/>
    </w:rPr>
  </w:style>
  <w:style w:type="character" w:customStyle="1" w:styleId="BodytextSpacing3pt">
    <w:name w:val="Body text + Spacing 3 pt"/>
    <w:rsid w:val="004B3278"/>
    <w:rPr>
      <w:rFonts w:ascii="Times New Roman" w:hAnsi="Times New Roman" w:cs="Times New Roman" w:hint="default"/>
      <w:spacing w:val="72"/>
      <w:sz w:val="23"/>
      <w:szCs w:val="23"/>
      <w:shd w:val="clear" w:color="auto" w:fill="FFFFFF"/>
    </w:rPr>
  </w:style>
  <w:style w:type="character" w:customStyle="1" w:styleId="Tablecaption80">
    <w:name w:val="Table caption (8)"/>
    <w:rsid w:val="004B3278"/>
    <w:rPr>
      <w:b/>
      <w:bCs/>
      <w:spacing w:val="6"/>
      <w:sz w:val="23"/>
      <w:szCs w:val="23"/>
      <w:u w:val="single"/>
      <w:shd w:val="clear" w:color="auto" w:fill="FFFFFF"/>
    </w:rPr>
  </w:style>
  <w:style w:type="character" w:customStyle="1" w:styleId="BodytextSpacing0pt2">
    <w:name w:val="Body text + Spacing 0 pt2"/>
    <w:rsid w:val="004B3278"/>
    <w:rPr>
      <w:rFonts w:ascii="Times New Roman" w:hAnsi="Times New Roman" w:cs="Times New Roman" w:hint="default"/>
      <w:spacing w:val="5"/>
      <w:sz w:val="23"/>
      <w:szCs w:val="23"/>
      <w:shd w:val="clear" w:color="auto" w:fill="FFFFFF"/>
    </w:rPr>
  </w:style>
  <w:style w:type="character" w:customStyle="1" w:styleId="Tablecaption90">
    <w:name w:val="Table caption (9)"/>
    <w:rsid w:val="004B3278"/>
    <w:rPr>
      <w:b/>
      <w:bCs/>
      <w:spacing w:val="3"/>
      <w:sz w:val="22"/>
      <w:szCs w:val="22"/>
      <w:u w:val="single"/>
      <w:shd w:val="clear" w:color="auto" w:fill="FFFFFF"/>
    </w:rPr>
  </w:style>
  <w:style w:type="character" w:customStyle="1" w:styleId="Bodytext360">
    <w:name w:val="Body text (36)"/>
    <w:rsid w:val="004B3278"/>
    <w:rPr>
      <w:b/>
      <w:bCs/>
      <w:spacing w:val="3"/>
      <w:sz w:val="21"/>
      <w:szCs w:val="21"/>
      <w:u w:val="single"/>
      <w:shd w:val="clear" w:color="auto" w:fill="FFFFFF"/>
    </w:rPr>
  </w:style>
  <w:style w:type="character" w:customStyle="1" w:styleId="Bodytext223">
    <w:name w:val="Body text (2)2"/>
    <w:rsid w:val="004B3278"/>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B3278"/>
    <w:rPr>
      <w:spacing w:val="-12"/>
      <w:sz w:val="19"/>
      <w:szCs w:val="19"/>
      <w:shd w:val="clear" w:color="auto" w:fill="FFFFFF"/>
    </w:rPr>
  </w:style>
  <w:style w:type="character" w:customStyle="1" w:styleId="Heading2NotItalic">
    <w:name w:val="Heading #2 + Not Italic"/>
    <w:aliases w:val="Spacing 0 pt94"/>
    <w:basedOn w:val="Heading20"/>
    <w:rsid w:val="004B3278"/>
    <w:rPr>
      <w:i/>
      <w:iCs/>
      <w:spacing w:val="-14"/>
      <w:sz w:val="30"/>
      <w:szCs w:val="30"/>
      <w:shd w:val="clear" w:color="auto" w:fill="FFFFFF"/>
    </w:rPr>
  </w:style>
  <w:style w:type="character" w:customStyle="1" w:styleId="Bodytext8NotItalic">
    <w:name w:val="Body text (8) + Not Italic"/>
    <w:aliases w:val="Spacing 0 pt93"/>
    <w:basedOn w:val="Bodytext8"/>
    <w:rsid w:val="004B3278"/>
    <w:rPr>
      <w:spacing w:val="-4"/>
      <w:shd w:val="clear" w:color="auto" w:fill="FFFFFF"/>
    </w:rPr>
  </w:style>
  <w:style w:type="character" w:customStyle="1" w:styleId="Bodytext5NotItalic">
    <w:name w:val="Body text (5) + Not Italic"/>
    <w:aliases w:val="Spacing 0 pt92"/>
    <w:rsid w:val="004B3278"/>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rsid w:val="004B3278"/>
    <w:rPr>
      <w:rFonts w:ascii="CordiaUPC" w:hAnsi="CordiaUPC" w:cs="CordiaUPC" w:hint="cs"/>
      <w:b/>
      <w:bCs/>
      <w:noProof/>
      <w:sz w:val="47"/>
      <w:szCs w:val="47"/>
      <w:shd w:val="clear" w:color="auto" w:fill="FFFFFF"/>
    </w:rPr>
  </w:style>
  <w:style w:type="character" w:customStyle="1" w:styleId="Bodytext8NotItalic2">
    <w:name w:val="Body text (8) + Not Italic2"/>
    <w:aliases w:val="Spacing 0 pt90"/>
    <w:basedOn w:val="Bodytext8"/>
    <w:rsid w:val="004B3278"/>
    <w:rPr>
      <w:spacing w:val="-4"/>
      <w:shd w:val="clear" w:color="auto" w:fill="FFFFFF"/>
    </w:rPr>
  </w:style>
  <w:style w:type="character" w:customStyle="1" w:styleId="FootnoteNotItalic">
    <w:name w:val="Footnote + Not Italic"/>
    <w:aliases w:val="Spacing 0 pt89"/>
    <w:rsid w:val="004B3278"/>
    <w:rPr>
      <w:rFonts w:ascii="Times New Roman" w:hAnsi="Times New Roman" w:cs="Times New Roman" w:hint="default"/>
      <w:i/>
      <w:iCs/>
      <w:spacing w:val="0"/>
      <w:sz w:val="17"/>
      <w:szCs w:val="17"/>
      <w:shd w:val="clear" w:color="auto" w:fill="FFFFFF"/>
    </w:rPr>
  </w:style>
  <w:style w:type="character" w:customStyle="1" w:styleId="Bodytext135pt">
    <w:name w:val="Body text + 13.5 pt"/>
    <w:aliases w:val="Bold22,Spacing 0 pt87"/>
    <w:basedOn w:val="Bodytext0"/>
    <w:rsid w:val="004B3278"/>
    <w:rPr>
      <w:spacing w:val="-6"/>
      <w:sz w:val="27"/>
      <w:szCs w:val="27"/>
      <w:shd w:val="clear" w:color="auto" w:fill="FFFFFF"/>
    </w:rPr>
  </w:style>
  <w:style w:type="character" w:customStyle="1" w:styleId="BodytextItalic6">
    <w:name w:val="Body text + Italic6"/>
    <w:aliases w:val="Spacing 0 pt85"/>
    <w:basedOn w:val="Bodytext0"/>
    <w:rsid w:val="004B3278"/>
    <w:rPr>
      <w:spacing w:val="-6"/>
      <w:sz w:val="27"/>
      <w:szCs w:val="27"/>
      <w:shd w:val="clear" w:color="auto" w:fill="FFFFFF"/>
    </w:rPr>
  </w:style>
  <w:style w:type="character" w:customStyle="1" w:styleId="Bodytext4115pt1">
    <w:name w:val="Body text (4) + 11.5 pt1"/>
    <w:aliases w:val="Spacing 0 pt80"/>
    <w:basedOn w:val="Bodytext4"/>
    <w:rsid w:val="004B3278"/>
    <w:rPr>
      <w:i/>
      <w:iCs/>
      <w:spacing w:val="-8"/>
      <w:sz w:val="27"/>
      <w:szCs w:val="27"/>
      <w:shd w:val="clear" w:color="auto" w:fill="FFFFFF"/>
    </w:rPr>
  </w:style>
  <w:style w:type="character" w:customStyle="1" w:styleId="Bodytext6155pt">
    <w:name w:val="Body text (6) + 15.5 pt"/>
    <w:aliases w:val="Spacing 0 pt78"/>
    <w:basedOn w:val="Bodytext6"/>
    <w:rsid w:val="004B3278"/>
    <w:rPr>
      <w:spacing w:val="-12"/>
      <w:sz w:val="19"/>
      <w:szCs w:val="19"/>
      <w:shd w:val="clear" w:color="auto" w:fill="FFFFFF"/>
    </w:rPr>
  </w:style>
  <w:style w:type="character" w:customStyle="1" w:styleId="Bodytext6NotBold4">
    <w:name w:val="Body text (6) + Not Bold4"/>
    <w:aliases w:val="Spacing 0 pt77"/>
    <w:basedOn w:val="Bodytext6"/>
    <w:rsid w:val="004B3278"/>
    <w:rPr>
      <w:spacing w:val="-12"/>
      <w:sz w:val="19"/>
      <w:szCs w:val="19"/>
      <w:shd w:val="clear" w:color="auto" w:fill="FFFFFF"/>
    </w:rPr>
  </w:style>
  <w:style w:type="character" w:customStyle="1" w:styleId="Bodytext6NotBold3">
    <w:name w:val="Body text (6) + Not Bold3"/>
    <w:aliases w:val="Italic21,Spacing 0 pt76"/>
    <w:basedOn w:val="Bodytext6"/>
    <w:rsid w:val="004B3278"/>
    <w:rPr>
      <w:spacing w:val="-12"/>
      <w:sz w:val="19"/>
      <w:szCs w:val="19"/>
      <w:shd w:val="clear" w:color="auto" w:fill="FFFFFF"/>
    </w:rPr>
  </w:style>
  <w:style w:type="character" w:customStyle="1" w:styleId="BodytextItalic5">
    <w:name w:val="Body text + Italic5"/>
    <w:aliases w:val="Spacing 0 pt75"/>
    <w:basedOn w:val="Bodytext0"/>
    <w:rsid w:val="004B3278"/>
    <w:rPr>
      <w:spacing w:val="-6"/>
      <w:sz w:val="27"/>
      <w:szCs w:val="27"/>
      <w:shd w:val="clear" w:color="auto" w:fill="FFFFFF"/>
    </w:rPr>
  </w:style>
  <w:style w:type="character" w:customStyle="1" w:styleId="BodytextCordiaUPC1">
    <w:name w:val="Body text + CordiaUPC1"/>
    <w:aliases w:val="14 pt,Bold20,Spacing 0 pt72"/>
    <w:basedOn w:val="Bodytext0"/>
    <w:rsid w:val="004B3278"/>
    <w:rPr>
      <w:spacing w:val="-6"/>
      <w:sz w:val="27"/>
      <w:szCs w:val="27"/>
      <w:shd w:val="clear" w:color="auto" w:fill="FFFFFF"/>
    </w:rPr>
  </w:style>
  <w:style w:type="character" w:customStyle="1" w:styleId="Bodytext11NotItalic">
    <w:name w:val="Body text (11) + Not Italic"/>
    <w:aliases w:val="Spacing 0 pt70,Body text (2) + 13.5 pt"/>
    <w:rsid w:val="004B3278"/>
    <w:rPr>
      <w:rFonts w:ascii="Times New Roman" w:hAnsi="Times New Roman" w:cs="Times New Roman" w:hint="default"/>
      <w:i/>
      <w:iCs/>
      <w:spacing w:val="-2"/>
      <w:sz w:val="23"/>
      <w:szCs w:val="23"/>
      <w:shd w:val="clear" w:color="auto" w:fill="FFFFFF"/>
    </w:rPr>
  </w:style>
  <w:style w:type="character" w:customStyle="1" w:styleId="Bodytext12115pt">
    <w:name w:val="Body text (12) + 11.5 pt"/>
    <w:aliases w:val="Bold19,Spacing 0 pt69"/>
    <w:rsid w:val="004B3278"/>
    <w:rPr>
      <w:rFonts w:ascii="Times New Roman" w:hAnsi="Times New Roman" w:cs="Times New Roman" w:hint="default"/>
      <w:b/>
      <w:bCs/>
      <w:spacing w:val="1"/>
      <w:sz w:val="23"/>
      <w:szCs w:val="23"/>
      <w:shd w:val="clear" w:color="auto" w:fill="FFFFFF"/>
    </w:rPr>
  </w:style>
  <w:style w:type="character" w:customStyle="1" w:styleId="Bodytext83">
    <w:name w:val="Body text (8)3"/>
    <w:basedOn w:val="Bodytext8"/>
    <w:rsid w:val="004B3278"/>
    <w:rPr>
      <w:spacing w:val="-4"/>
      <w:shd w:val="clear" w:color="auto" w:fill="FFFFFF"/>
    </w:rPr>
  </w:style>
  <w:style w:type="character" w:customStyle="1" w:styleId="HeaderorfooterSpacing0pt3">
    <w:name w:val="Header or footer + Spacing 0 pt3"/>
    <w:rsid w:val="004B3278"/>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rsid w:val="004B3278"/>
    <w:rPr>
      <w:rFonts w:ascii="Times New Roman" w:hAnsi="Times New Roman" w:cs="Times New Roman" w:hint="default"/>
      <w:spacing w:val="-3"/>
      <w:sz w:val="25"/>
      <w:szCs w:val="25"/>
      <w:shd w:val="clear" w:color="auto" w:fill="FFFFFF"/>
    </w:rPr>
  </w:style>
  <w:style w:type="character" w:customStyle="1" w:styleId="Headerorfooter2Spacing0pt">
    <w:name w:val="Header or footer (2) + Spacing 0 pt"/>
    <w:basedOn w:val="Headerorfooter2"/>
    <w:rsid w:val="004B3278"/>
    <w:rPr>
      <w:noProof/>
      <w:sz w:val="27"/>
      <w:szCs w:val="27"/>
      <w:shd w:val="clear" w:color="auto" w:fill="FFFFFF"/>
    </w:rPr>
  </w:style>
  <w:style w:type="character" w:customStyle="1" w:styleId="TablecaptionSpacing0pt1">
    <w:name w:val="Table caption + Spacing 0 pt1"/>
    <w:rsid w:val="004B3278"/>
    <w:rPr>
      <w:rFonts w:ascii="Times New Roman" w:hAnsi="Times New Roman" w:cs="Times New Roman" w:hint="default"/>
      <w:spacing w:val="-2"/>
      <w:sz w:val="23"/>
      <w:szCs w:val="23"/>
      <w:u w:val="single"/>
      <w:shd w:val="clear" w:color="auto" w:fill="FFFFFF"/>
    </w:rPr>
  </w:style>
  <w:style w:type="character" w:customStyle="1" w:styleId="Bodytext95pt7">
    <w:name w:val="Body text + 9.5 pt7"/>
    <w:aliases w:val="Italic19"/>
    <w:basedOn w:val="Bodytext0"/>
    <w:rsid w:val="004B3278"/>
    <w:rPr>
      <w:spacing w:val="-6"/>
      <w:sz w:val="27"/>
      <w:szCs w:val="27"/>
      <w:shd w:val="clear" w:color="auto" w:fill="FFFFFF"/>
    </w:rPr>
  </w:style>
  <w:style w:type="character" w:customStyle="1" w:styleId="FootnoteSpacing0pt1">
    <w:name w:val="Footnote + Spacing 0 pt1"/>
    <w:rsid w:val="004B3278"/>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B3278"/>
    <w:rPr>
      <w:noProof/>
      <w:sz w:val="27"/>
      <w:szCs w:val="27"/>
      <w:shd w:val="clear" w:color="auto" w:fill="FFFFFF"/>
    </w:rPr>
  </w:style>
  <w:style w:type="character" w:customStyle="1" w:styleId="Tablecaption2Spacing0pt">
    <w:name w:val="Table caption (2) + Spacing 0 pt"/>
    <w:basedOn w:val="Tablecaption2"/>
    <w:rsid w:val="004B3278"/>
    <w:rPr>
      <w:spacing w:val="-4"/>
      <w:sz w:val="25"/>
      <w:szCs w:val="25"/>
      <w:shd w:val="clear" w:color="auto" w:fill="FFFFFF"/>
    </w:rPr>
  </w:style>
  <w:style w:type="character" w:customStyle="1" w:styleId="Tablecaption2Spacing0pt1">
    <w:name w:val="Table caption (2) + Spacing 0 pt1"/>
    <w:basedOn w:val="Tablecaption2"/>
    <w:rsid w:val="004B3278"/>
    <w:rPr>
      <w:spacing w:val="-4"/>
      <w:sz w:val="25"/>
      <w:szCs w:val="25"/>
      <w:shd w:val="clear" w:color="auto" w:fill="FFFFFF"/>
    </w:rPr>
  </w:style>
  <w:style w:type="character" w:customStyle="1" w:styleId="HeaderorfooterSpacing0pt2">
    <w:name w:val="Header or footer + Spacing 0 pt2"/>
    <w:rsid w:val="004B3278"/>
    <w:rPr>
      <w:rFonts w:ascii="Times New Roman" w:hAnsi="Times New Roman" w:cs="Times New Roman" w:hint="default"/>
      <w:spacing w:val="1"/>
      <w:sz w:val="23"/>
      <w:szCs w:val="23"/>
      <w:shd w:val="clear" w:color="auto" w:fill="FFFFFF"/>
    </w:rPr>
  </w:style>
  <w:style w:type="character" w:customStyle="1" w:styleId="Bodytext8Spacing0pt1">
    <w:name w:val="Body text (8) + Spacing 0 pt1"/>
    <w:basedOn w:val="Bodytext8"/>
    <w:rsid w:val="004B3278"/>
    <w:rPr>
      <w:spacing w:val="-4"/>
      <w:shd w:val="clear" w:color="auto" w:fill="FFFFFF"/>
    </w:rPr>
  </w:style>
  <w:style w:type="character" w:customStyle="1" w:styleId="Bodytext885pt">
    <w:name w:val="Body text (8) + 8.5 pt"/>
    <w:basedOn w:val="Bodytext8"/>
    <w:rsid w:val="004B3278"/>
    <w:rPr>
      <w:spacing w:val="-4"/>
      <w:shd w:val="clear" w:color="auto" w:fill="FFFFFF"/>
    </w:rPr>
  </w:style>
  <w:style w:type="character" w:customStyle="1" w:styleId="Bodytext15Spacing0pt">
    <w:name w:val="Body text (15) + Spacing 0 pt"/>
    <w:rsid w:val="004B3278"/>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B3278"/>
    <w:rPr>
      <w:noProof/>
      <w:sz w:val="27"/>
      <w:szCs w:val="27"/>
      <w:shd w:val="clear" w:color="auto" w:fill="FFFFFF"/>
    </w:rPr>
  </w:style>
  <w:style w:type="character" w:customStyle="1" w:styleId="Tableofcontents10pt">
    <w:name w:val="Table of contents + 10 pt"/>
    <w:rsid w:val="004B3278"/>
    <w:rPr>
      <w:sz w:val="20"/>
      <w:szCs w:val="20"/>
      <w:shd w:val="clear" w:color="auto" w:fill="FFFFFF"/>
    </w:rPr>
  </w:style>
  <w:style w:type="character" w:customStyle="1" w:styleId="Bodytext6Spacing0pt1">
    <w:name w:val="Body text (6) + Spacing 0 pt1"/>
    <w:basedOn w:val="Bodytext6"/>
    <w:rsid w:val="004B3278"/>
    <w:rPr>
      <w:spacing w:val="-12"/>
      <w:sz w:val="19"/>
      <w:szCs w:val="19"/>
      <w:shd w:val="clear" w:color="auto" w:fill="FFFFFF"/>
    </w:rPr>
  </w:style>
  <w:style w:type="character" w:customStyle="1" w:styleId="Bodytext7Spacing0pt">
    <w:name w:val="Body text (7) + Spacing 0 pt"/>
    <w:rsid w:val="004B3278"/>
    <w:rPr>
      <w:rFonts w:ascii="Times New Roman" w:hAnsi="Times New Roman" w:cs="Times New Roman" w:hint="default"/>
      <w:b/>
      <w:bCs/>
      <w:i/>
      <w:iCs/>
      <w:spacing w:val="-2"/>
      <w:sz w:val="18"/>
      <w:szCs w:val="18"/>
      <w:u w:val="single"/>
      <w:shd w:val="clear" w:color="auto" w:fill="FFFFFF"/>
    </w:rPr>
  </w:style>
  <w:style w:type="character" w:customStyle="1" w:styleId="Headerorfooter22">
    <w:name w:val="Header or footer (2)2"/>
    <w:basedOn w:val="Headerorfooter2"/>
    <w:rsid w:val="004B3278"/>
    <w:rPr>
      <w:noProof/>
      <w:sz w:val="27"/>
      <w:szCs w:val="27"/>
      <w:shd w:val="clear" w:color="auto" w:fill="FFFFFF"/>
    </w:rPr>
  </w:style>
  <w:style w:type="character" w:customStyle="1" w:styleId="Headerorfooter5Spacing0pt">
    <w:name w:val="Header or footer (5) + Spacing 0 pt"/>
    <w:rsid w:val="004B3278"/>
    <w:rPr>
      <w:rFonts w:ascii="Consolas" w:hAnsi="Consolas" w:cs="Consolas" w:hint="default"/>
      <w:b/>
      <w:bCs/>
      <w:i/>
      <w:iCs/>
      <w:noProof/>
      <w:spacing w:val="8"/>
      <w:sz w:val="9"/>
      <w:szCs w:val="9"/>
      <w:shd w:val="clear" w:color="auto" w:fill="FFFFFF"/>
    </w:rPr>
  </w:style>
  <w:style w:type="character" w:customStyle="1" w:styleId="Bodytext6115pt">
    <w:name w:val="Body text (6) + 11.5 pt"/>
    <w:rsid w:val="004B3278"/>
    <w:rPr>
      <w:rFonts w:ascii="Times New Roman" w:hAnsi="Times New Roman" w:cs="Times New Roman" w:hint="default"/>
      <w:b/>
      <w:bCs/>
      <w:spacing w:val="5"/>
      <w:sz w:val="23"/>
      <w:szCs w:val="23"/>
      <w:shd w:val="clear" w:color="auto" w:fill="FFFFFF"/>
    </w:rPr>
  </w:style>
  <w:style w:type="character" w:customStyle="1" w:styleId="Bodytext6115pt1">
    <w:name w:val="Body text (6) + 11.5 pt1"/>
    <w:rsid w:val="004B3278"/>
    <w:rPr>
      <w:rFonts w:ascii="Times New Roman" w:hAnsi="Times New Roman" w:cs="Times New Roman" w:hint="default"/>
      <w:b/>
      <w:bCs/>
      <w:spacing w:val="5"/>
      <w:sz w:val="23"/>
      <w:szCs w:val="23"/>
      <w:u w:val="single"/>
      <w:shd w:val="clear" w:color="auto" w:fill="FFFFFF"/>
    </w:rPr>
  </w:style>
  <w:style w:type="character" w:customStyle="1" w:styleId="Tablecaption210pt">
    <w:name w:val="Table caption (2) + 10 pt"/>
    <w:aliases w:val="Not Bold9"/>
    <w:rsid w:val="004B3278"/>
    <w:rPr>
      <w:rFonts w:ascii="Times New Roman" w:hAnsi="Times New Roman" w:cs="Times New Roman" w:hint="default"/>
      <w:b/>
      <w:bCs/>
      <w:spacing w:val="5"/>
      <w:sz w:val="20"/>
      <w:szCs w:val="20"/>
      <w:u w:val="single"/>
      <w:shd w:val="clear" w:color="auto" w:fill="FFFFFF"/>
    </w:rPr>
  </w:style>
  <w:style w:type="character" w:customStyle="1" w:styleId="Tablecaption5Spacing0pt">
    <w:name w:val="Table caption (5) + Spacing 0 pt"/>
    <w:rsid w:val="004B3278"/>
    <w:rPr>
      <w:rFonts w:ascii="Times New Roman" w:hAnsi="Times New Roman" w:cs="Times New Roman" w:hint="default"/>
      <w:noProof/>
      <w:spacing w:val="0"/>
      <w:sz w:val="15"/>
      <w:szCs w:val="15"/>
      <w:shd w:val="clear" w:color="auto" w:fill="FFFFFF"/>
    </w:rPr>
  </w:style>
  <w:style w:type="character" w:customStyle="1" w:styleId="Headerorfooter24">
    <w:name w:val="Header or footer2"/>
    <w:rsid w:val="004B3278"/>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rsid w:val="004B3278"/>
    <w:rPr>
      <w:rFonts w:ascii="Times New Roman" w:hAnsi="Times New Roman" w:cs="Times New Roman" w:hint="default"/>
      <w:b/>
      <w:bCs/>
      <w:i/>
      <w:iCs/>
      <w:spacing w:val="-36"/>
      <w:sz w:val="22"/>
      <w:szCs w:val="22"/>
      <w:shd w:val="clear" w:color="auto" w:fill="FFFFFF"/>
    </w:rPr>
  </w:style>
  <w:style w:type="character" w:customStyle="1" w:styleId="Heading32Spacing0pt">
    <w:name w:val="Heading #3 (2) + Spacing 0 pt"/>
    <w:rsid w:val="004B3278"/>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rsid w:val="004B3278"/>
    <w:rPr>
      <w:rFonts w:ascii="Times New Roman" w:hAnsi="Times New Roman" w:cs="Times New Roman" w:hint="default"/>
      <w:spacing w:val="6"/>
      <w:sz w:val="22"/>
      <w:szCs w:val="22"/>
      <w:shd w:val="clear" w:color="auto" w:fill="FFFFFF"/>
    </w:rPr>
  </w:style>
  <w:style w:type="character" w:customStyle="1" w:styleId="Bodytext785pt">
    <w:name w:val="Body text (7) + 8.5 pt"/>
    <w:rsid w:val="004B3278"/>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rsid w:val="004B3278"/>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rsid w:val="004B3278"/>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rsid w:val="004B3278"/>
    <w:rPr>
      <w:rFonts w:ascii="Times New Roman" w:hAnsi="Times New Roman" w:cs="Times New Roman" w:hint="default"/>
      <w:b/>
      <w:bCs/>
      <w:spacing w:val="4"/>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6578</Words>
  <Characters>37498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2017-11-19T05:47:00Z</dcterms:created>
  <dcterms:modified xsi:type="dcterms:W3CDTF">2017-11-19T05:47:00Z</dcterms:modified>
</cp:coreProperties>
</file>